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BF" w:rsidRPr="008669A8" w:rsidRDefault="003D58BF" w:rsidP="009A03C5">
      <w:pPr>
        <w:jc w:val="center"/>
        <w:rPr>
          <w:b/>
          <w:sz w:val="28"/>
          <w:szCs w:val="28"/>
          <w:u w:val="single"/>
        </w:rPr>
      </w:pPr>
      <w:r w:rsidRPr="008669A8">
        <w:rPr>
          <w:b/>
          <w:sz w:val="28"/>
          <w:szCs w:val="28"/>
          <w:u w:val="single"/>
        </w:rPr>
        <w:t xml:space="preserve">REPORT </w:t>
      </w:r>
    </w:p>
    <w:p w:rsidR="003D58BF" w:rsidRPr="008669A8" w:rsidRDefault="003D58BF" w:rsidP="009A03C5">
      <w:pPr>
        <w:jc w:val="center"/>
        <w:rPr>
          <w:b/>
          <w:sz w:val="28"/>
          <w:szCs w:val="28"/>
          <w:u w:val="single"/>
        </w:rPr>
      </w:pPr>
      <w:r w:rsidRPr="008669A8">
        <w:rPr>
          <w:b/>
          <w:sz w:val="28"/>
          <w:szCs w:val="28"/>
          <w:u w:val="single"/>
        </w:rPr>
        <w:t>TO</w:t>
      </w:r>
    </w:p>
    <w:p w:rsidR="003D58BF" w:rsidRPr="008669A8" w:rsidRDefault="003D58BF" w:rsidP="009A03C5">
      <w:pPr>
        <w:jc w:val="center"/>
        <w:rPr>
          <w:b/>
          <w:sz w:val="28"/>
          <w:szCs w:val="28"/>
          <w:u w:val="single"/>
        </w:rPr>
      </w:pPr>
      <w:r w:rsidRPr="008669A8">
        <w:rPr>
          <w:b/>
          <w:sz w:val="28"/>
          <w:szCs w:val="28"/>
          <w:u w:val="single"/>
        </w:rPr>
        <w:t xml:space="preserve">THE COUNCIL OF THE </w:t>
      </w:r>
      <w:r w:rsidR="00E005C3">
        <w:rPr>
          <w:b/>
          <w:sz w:val="28"/>
          <w:szCs w:val="28"/>
          <w:u w:val="single"/>
        </w:rPr>
        <w:t>MUNICIPALITY OF NORTHER</w:t>
      </w:r>
      <w:r w:rsidR="004C5701">
        <w:rPr>
          <w:b/>
          <w:sz w:val="28"/>
          <w:szCs w:val="28"/>
          <w:u w:val="single"/>
        </w:rPr>
        <w:t>N</w:t>
      </w:r>
      <w:r w:rsidR="00021E19">
        <w:rPr>
          <w:b/>
          <w:sz w:val="28"/>
          <w:szCs w:val="28"/>
          <w:u w:val="single"/>
        </w:rPr>
        <w:t xml:space="preserve"> BRUCE PENINSULA REG</w:t>
      </w:r>
      <w:r w:rsidR="00E005C3">
        <w:rPr>
          <w:b/>
          <w:sz w:val="28"/>
          <w:szCs w:val="28"/>
          <w:u w:val="single"/>
        </w:rPr>
        <w:t>ARDING</w:t>
      </w:r>
      <w:r w:rsidRPr="008669A8">
        <w:rPr>
          <w:b/>
          <w:sz w:val="28"/>
          <w:szCs w:val="28"/>
          <w:u w:val="single"/>
        </w:rPr>
        <w:t xml:space="preserve"> THE INVESTIGATION OF</w:t>
      </w:r>
      <w:bookmarkStart w:id="0" w:name="_GoBack"/>
      <w:bookmarkEnd w:id="0"/>
      <w:r w:rsidRPr="008669A8">
        <w:rPr>
          <w:b/>
          <w:sz w:val="28"/>
          <w:szCs w:val="28"/>
          <w:u w:val="single"/>
        </w:rPr>
        <w:t xml:space="preserve"> CLOSED MEETING</w:t>
      </w:r>
      <w:r w:rsidR="00E005C3">
        <w:rPr>
          <w:b/>
          <w:sz w:val="28"/>
          <w:szCs w:val="28"/>
          <w:u w:val="single"/>
        </w:rPr>
        <w:t>S</w:t>
      </w:r>
      <w:r w:rsidRPr="008669A8">
        <w:rPr>
          <w:b/>
          <w:sz w:val="28"/>
          <w:szCs w:val="28"/>
          <w:u w:val="single"/>
        </w:rPr>
        <w:t xml:space="preserve"> COUNCIL HELD ON </w:t>
      </w:r>
      <w:r w:rsidR="00CD2F25">
        <w:rPr>
          <w:b/>
          <w:sz w:val="28"/>
          <w:szCs w:val="28"/>
          <w:u w:val="single"/>
        </w:rPr>
        <w:t>JUNE 27, OCTOBER</w:t>
      </w:r>
      <w:r w:rsidR="00DF6DCF">
        <w:rPr>
          <w:b/>
          <w:sz w:val="28"/>
          <w:szCs w:val="28"/>
          <w:u w:val="single"/>
        </w:rPr>
        <w:t xml:space="preserve"> </w:t>
      </w:r>
      <w:r w:rsidR="00CD2F25">
        <w:rPr>
          <w:b/>
          <w:sz w:val="28"/>
          <w:szCs w:val="28"/>
          <w:u w:val="single"/>
        </w:rPr>
        <w:t>11 AND OCTOBER 21, 2011</w:t>
      </w:r>
    </w:p>
    <w:p w:rsidR="003D58BF" w:rsidRPr="008669A8" w:rsidRDefault="003D58BF" w:rsidP="009A03C5">
      <w:pPr>
        <w:jc w:val="center"/>
        <w:rPr>
          <w:b/>
          <w:sz w:val="28"/>
          <w:szCs w:val="28"/>
          <w:u w:val="single"/>
        </w:rPr>
      </w:pPr>
    </w:p>
    <w:p w:rsidR="003D58BF" w:rsidRPr="008669A8" w:rsidRDefault="003D58BF" w:rsidP="009A03C5">
      <w:pPr>
        <w:jc w:val="center"/>
        <w:rPr>
          <w:b/>
          <w:sz w:val="28"/>
          <w:szCs w:val="28"/>
          <w:u w:val="single"/>
        </w:rPr>
      </w:pPr>
    </w:p>
    <w:p w:rsidR="003D58BF" w:rsidRPr="008669A8" w:rsidRDefault="003D58BF" w:rsidP="009A03C5">
      <w:pPr>
        <w:rPr>
          <w:b/>
          <w:sz w:val="28"/>
          <w:szCs w:val="28"/>
          <w:u w:val="single"/>
        </w:rPr>
      </w:pPr>
      <w:r w:rsidRPr="008669A8">
        <w:rPr>
          <w:b/>
          <w:sz w:val="28"/>
          <w:szCs w:val="28"/>
          <w:u w:val="single"/>
        </w:rPr>
        <w:t>Complaint</w:t>
      </w:r>
    </w:p>
    <w:p w:rsidR="003D58BF" w:rsidRPr="008669A8" w:rsidRDefault="003D58BF" w:rsidP="009A03C5">
      <w:pPr>
        <w:rPr>
          <w:b/>
          <w:sz w:val="28"/>
          <w:szCs w:val="28"/>
          <w:u w:val="single"/>
        </w:rPr>
      </w:pPr>
    </w:p>
    <w:p w:rsidR="003D58BF" w:rsidRPr="008669A8" w:rsidRDefault="003D58BF" w:rsidP="009A03C5">
      <w:pPr>
        <w:rPr>
          <w:sz w:val="28"/>
          <w:szCs w:val="28"/>
        </w:rPr>
      </w:pPr>
      <w:r w:rsidRPr="008669A8">
        <w:rPr>
          <w:sz w:val="28"/>
          <w:szCs w:val="28"/>
        </w:rPr>
        <w:t xml:space="preserve">The </w:t>
      </w:r>
      <w:r w:rsidR="00DF6DCF">
        <w:rPr>
          <w:sz w:val="28"/>
          <w:szCs w:val="28"/>
        </w:rPr>
        <w:t>Municipality</w:t>
      </w:r>
      <w:r w:rsidRPr="008669A8">
        <w:rPr>
          <w:sz w:val="28"/>
          <w:szCs w:val="28"/>
        </w:rPr>
        <w:t xml:space="preserve"> received a complaint on or about </w:t>
      </w:r>
      <w:r w:rsidR="00DF6DCF">
        <w:rPr>
          <w:sz w:val="28"/>
          <w:szCs w:val="28"/>
        </w:rPr>
        <w:t>November 16, 2011</w:t>
      </w:r>
      <w:r w:rsidRPr="008669A8">
        <w:rPr>
          <w:sz w:val="28"/>
          <w:szCs w:val="28"/>
        </w:rPr>
        <w:t xml:space="preserve"> regarding closed meeting</w:t>
      </w:r>
      <w:r w:rsidR="00DF6DCF">
        <w:rPr>
          <w:sz w:val="28"/>
          <w:szCs w:val="28"/>
        </w:rPr>
        <w:t>s</w:t>
      </w:r>
      <w:r w:rsidRPr="008669A8">
        <w:rPr>
          <w:sz w:val="28"/>
          <w:szCs w:val="28"/>
        </w:rPr>
        <w:t xml:space="preserve"> of Council held </w:t>
      </w:r>
      <w:r w:rsidR="00C345B6" w:rsidRPr="008669A8">
        <w:rPr>
          <w:sz w:val="28"/>
          <w:szCs w:val="28"/>
        </w:rPr>
        <w:t xml:space="preserve">on </w:t>
      </w:r>
      <w:r w:rsidR="00C345B6">
        <w:rPr>
          <w:sz w:val="28"/>
          <w:szCs w:val="28"/>
        </w:rPr>
        <w:t>June</w:t>
      </w:r>
      <w:r w:rsidR="00DF6DCF">
        <w:rPr>
          <w:sz w:val="28"/>
          <w:szCs w:val="28"/>
        </w:rPr>
        <w:t xml:space="preserve"> 27, </w:t>
      </w:r>
      <w:r w:rsidR="00FA42AB">
        <w:rPr>
          <w:sz w:val="28"/>
          <w:szCs w:val="28"/>
        </w:rPr>
        <w:t>October 12, and October 27, 2011.</w:t>
      </w:r>
    </w:p>
    <w:p w:rsidR="003D58BF" w:rsidRPr="008669A8" w:rsidRDefault="003D58BF" w:rsidP="009A03C5">
      <w:pPr>
        <w:rPr>
          <w:sz w:val="28"/>
          <w:szCs w:val="28"/>
        </w:rPr>
      </w:pPr>
    </w:p>
    <w:p w:rsidR="003D58BF" w:rsidRPr="008669A8" w:rsidRDefault="003D58BF" w:rsidP="009A03C5">
      <w:pPr>
        <w:rPr>
          <w:sz w:val="28"/>
          <w:szCs w:val="28"/>
        </w:rPr>
      </w:pPr>
      <w:r>
        <w:rPr>
          <w:sz w:val="28"/>
          <w:szCs w:val="28"/>
        </w:rPr>
        <w:t xml:space="preserve">The complainant alleged that the </w:t>
      </w:r>
      <w:r w:rsidR="00550EF4">
        <w:rPr>
          <w:sz w:val="28"/>
          <w:szCs w:val="28"/>
        </w:rPr>
        <w:t>municipality</w:t>
      </w:r>
      <w:r w:rsidR="00F67AF5">
        <w:rPr>
          <w:sz w:val="28"/>
          <w:szCs w:val="28"/>
        </w:rPr>
        <w:t xml:space="preserve"> is interpreting Sec</w:t>
      </w:r>
      <w:r w:rsidR="00CB747D">
        <w:rPr>
          <w:sz w:val="28"/>
          <w:szCs w:val="28"/>
        </w:rPr>
        <w:t xml:space="preserve">tion 239 of </w:t>
      </w:r>
      <w:r w:rsidR="0094032F">
        <w:rPr>
          <w:sz w:val="28"/>
          <w:szCs w:val="28"/>
        </w:rPr>
        <w:t xml:space="preserve">the Municipal </w:t>
      </w:r>
      <w:r w:rsidR="00CB747D">
        <w:rPr>
          <w:sz w:val="28"/>
          <w:szCs w:val="28"/>
        </w:rPr>
        <w:t>Act</w:t>
      </w:r>
      <w:r w:rsidR="0094032F">
        <w:rPr>
          <w:sz w:val="28"/>
          <w:szCs w:val="28"/>
        </w:rPr>
        <w:t xml:space="preserve"> 2001 (the Act)</w:t>
      </w:r>
      <w:r w:rsidR="00CB747D">
        <w:rPr>
          <w:sz w:val="28"/>
          <w:szCs w:val="28"/>
        </w:rPr>
        <w:t xml:space="preserve"> too </w:t>
      </w:r>
      <w:r w:rsidR="00550EF4">
        <w:rPr>
          <w:sz w:val="28"/>
          <w:szCs w:val="28"/>
        </w:rPr>
        <w:t xml:space="preserve">broadly and </w:t>
      </w:r>
      <w:r w:rsidR="00CB747D">
        <w:rPr>
          <w:sz w:val="28"/>
          <w:szCs w:val="28"/>
        </w:rPr>
        <w:t xml:space="preserve">that </w:t>
      </w:r>
      <w:r w:rsidR="00550EF4">
        <w:rPr>
          <w:sz w:val="28"/>
          <w:szCs w:val="28"/>
        </w:rPr>
        <w:t>“</w:t>
      </w:r>
      <w:r w:rsidR="00CB747D">
        <w:rPr>
          <w:sz w:val="28"/>
          <w:szCs w:val="28"/>
        </w:rPr>
        <w:t xml:space="preserve">refusal to </w:t>
      </w:r>
      <w:r w:rsidR="004C46B3">
        <w:rPr>
          <w:sz w:val="28"/>
          <w:szCs w:val="28"/>
        </w:rPr>
        <w:t xml:space="preserve">provide general information of a general nature to the public about the nature of its closed session discussions amounts to a breach of its duty under the Municipal Act to be </w:t>
      </w:r>
      <w:r w:rsidR="00EA2623">
        <w:rPr>
          <w:sz w:val="28"/>
          <w:szCs w:val="28"/>
        </w:rPr>
        <w:t>transparent</w:t>
      </w:r>
      <w:r w:rsidR="004C46B3">
        <w:rPr>
          <w:sz w:val="28"/>
          <w:szCs w:val="28"/>
        </w:rPr>
        <w:t xml:space="preserve"> and accountable.”</w:t>
      </w:r>
    </w:p>
    <w:p w:rsidR="003D58BF" w:rsidRPr="008669A8" w:rsidRDefault="003D58BF" w:rsidP="009A03C5">
      <w:pPr>
        <w:rPr>
          <w:sz w:val="28"/>
          <w:szCs w:val="28"/>
        </w:rPr>
      </w:pPr>
    </w:p>
    <w:p w:rsidR="003D58BF" w:rsidRPr="008669A8" w:rsidRDefault="003D58BF" w:rsidP="009A03C5">
      <w:pPr>
        <w:rPr>
          <w:sz w:val="28"/>
          <w:szCs w:val="28"/>
        </w:rPr>
      </w:pPr>
      <w:r w:rsidRPr="008669A8">
        <w:rPr>
          <w:sz w:val="28"/>
          <w:szCs w:val="28"/>
        </w:rPr>
        <w:t>The complaint was forwarded to the offices of Amberley Gavel Ltd. for investigation.</w:t>
      </w:r>
    </w:p>
    <w:p w:rsidR="003D58BF" w:rsidRPr="008669A8" w:rsidRDefault="003D58BF" w:rsidP="009A03C5">
      <w:pPr>
        <w:rPr>
          <w:sz w:val="28"/>
          <w:szCs w:val="28"/>
        </w:rPr>
      </w:pPr>
    </w:p>
    <w:p w:rsidR="003D58BF" w:rsidRPr="008669A8" w:rsidRDefault="003D58BF" w:rsidP="009A03C5">
      <w:pPr>
        <w:rPr>
          <w:sz w:val="28"/>
          <w:szCs w:val="28"/>
        </w:rPr>
      </w:pPr>
    </w:p>
    <w:p w:rsidR="003D58BF" w:rsidRPr="008669A8" w:rsidRDefault="003D58BF" w:rsidP="009A03C5">
      <w:pPr>
        <w:rPr>
          <w:b/>
          <w:sz w:val="28"/>
          <w:szCs w:val="28"/>
          <w:u w:val="single"/>
        </w:rPr>
      </w:pPr>
      <w:r w:rsidRPr="008669A8">
        <w:rPr>
          <w:b/>
          <w:sz w:val="28"/>
          <w:szCs w:val="28"/>
          <w:u w:val="single"/>
        </w:rPr>
        <w:t>Jurisdiction</w:t>
      </w:r>
    </w:p>
    <w:p w:rsidR="003D58BF" w:rsidRPr="008669A8" w:rsidRDefault="003D58BF" w:rsidP="009A03C5">
      <w:pPr>
        <w:rPr>
          <w:b/>
          <w:sz w:val="28"/>
          <w:szCs w:val="28"/>
          <w:u w:val="single"/>
        </w:rPr>
      </w:pPr>
    </w:p>
    <w:p w:rsidR="003D58BF" w:rsidRPr="008669A8" w:rsidRDefault="003D58BF" w:rsidP="004C5701">
      <w:pPr>
        <w:rPr>
          <w:sz w:val="28"/>
          <w:szCs w:val="28"/>
        </w:rPr>
      </w:pPr>
      <w:r w:rsidRPr="008669A8">
        <w:rPr>
          <w:sz w:val="28"/>
          <w:szCs w:val="28"/>
        </w:rPr>
        <w:t xml:space="preserve">The </w:t>
      </w:r>
      <w:r w:rsidR="00EA2623">
        <w:rPr>
          <w:sz w:val="28"/>
          <w:szCs w:val="28"/>
        </w:rPr>
        <w:t xml:space="preserve">Municipality of Northern Bruce Peninsula </w:t>
      </w:r>
      <w:r w:rsidR="00EA2623" w:rsidRPr="008669A8">
        <w:rPr>
          <w:sz w:val="28"/>
          <w:szCs w:val="28"/>
        </w:rPr>
        <w:t>appointed</w:t>
      </w:r>
      <w:r w:rsidRPr="008669A8">
        <w:rPr>
          <w:sz w:val="28"/>
          <w:szCs w:val="28"/>
        </w:rPr>
        <w:t xml:space="preserve"> Local Authority Services (LAS) as its closed meeting investigator pursuant to section 239.2 of the Municipal Act 2001 as amended by Bill 130 (Municipal Act).  LAS delegated its powers and duties to Amberley Gavel Ltd. to undertake the investigation and report to the Council</w:t>
      </w:r>
      <w:r w:rsidR="00EA2623">
        <w:rPr>
          <w:sz w:val="28"/>
          <w:szCs w:val="28"/>
        </w:rPr>
        <w:t>.</w:t>
      </w:r>
    </w:p>
    <w:p w:rsidR="003D58BF" w:rsidRPr="008669A8" w:rsidRDefault="003D58BF" w:rsidP="009A03C5">
      <w:pPr>
        <w:rPr>
          <w:sz w:val="28"/>
          <w:szCs w:val="28"/>
        </w:rPr>
      </w:pPr>
    </w:p>
    <w:p w:rsidR="003D58BF" w:rsidRPr="008669A8" w:rsidRDefault="003D58BF" w:rsidP="009A03C5">
      <w:pPr>
        <w:rPr>
          <w:sz w:val="28"/>
          <w:szCs w:val="28"/>
        </w:rPr>
      </w:pPr>
      <w:bookmarkStart w:id="1" w:name="OLE_LINK1"/>
      <w:bookmarkStart w:id="2" w:name="OLE_LINK2"/>
      <w:r w:rsidRPr="008669A8">
        <w:rPr>
          <w:sz w:val="28"/>
          <w:szCs w:val="28"/>
        </w:rPr>
        <w:t>Section 239.1 provides that the role of the closed meeting investigator is to report to council on “whether a municipality or local board has complied with section 239 or a procedure by-law under subsection 238 (2) in respect of a meeting or part of a meeting that was closed to the public”.</w:t>
      </w:r>
    </w:p>
    <w:p w:rsidR="003D58BF" w:rsidRPr="008669A8" w:rsidRDefault="003D58BF" w:rsidP="009A03C5">
      <w:pPr>
        <w:rPr>
          <w:sz w:val="28"/>
          <w:szCs w:val="28"/>
        </w:rPr>
      </w:pPr>
      <w:r>
        <w:rPr>
          <w:sz w:val="28"/>
          <w:szCs w:val="28"/>
        </w:rPr>
        <w:br w:type="page"/>
      </w:r>
    </w:p>
    <w:p w:rsidR="003D58BF" w:rsidRPr="008669A8" w:rsidRDefault="003D58BF" w:rsidP="009A03C5">
      <w:pPr>
        <w:rPr>
          <w:sz w:val="28"/>
          <w:szCs w:val="28"/>
        </w:rPr>
      </w:pPr>
    </w:p>
    <w:p w:rsidR="003D58BF" w:rsidRPr="008669A8" w:rsidRDefault="003D58BF" w:rsidP="009A03C5">
      <w:pPr>
        <w:rPr>
          <w:b/>
          <w:sz w:val="28"/>
          <w:szCs w:val="28"/>
          <w:u w:val="single"/>
        </w:rPr>
      </w:pPr>
      <w:r w:rsidRPr="008669A8">
        <w:rPr>
          <w:b/>
          <w:sz w:val="28"/>
          <w:szCs w:val="28"/>
          <w:u w:val="single"/>
        </w:rPr>
        <w:t>Background</w:t>
      </w:r>
    </w:p>
    <w:p w:rsidR="003D58BF" w:rsidRPr="008669A8" w:rsidRDefault="003D58BF" w:rsidP="009A03C5">
      <w:pPr>
        <w:rPr>
          <w:b/>
          <w:sz w:val="28"/>
          <w:szCs w:val="28"/>
          <w:u w:val="single"/>
        </w:rPr>
      </w:pPr>
    </w:p>
    <w:p w:rsidR="003D58BF" w:rsidRPr="008669A8" w:rsidRDefault="003D58BF" w:rsidP="009A03C5">
      <w:pPr>
        <w:tabs>
          <w:tab w:val="left" w:pos="2266"/>
        </w:tabs>
        <w:rPr>
          <w:sz w:val="28"/>
          <w:szCs w:val="28"/>
        </w:rPr>
      </w:pPr>
      <w:r w:rsidRPr="008669A8">
        <w:rPr>
          <w:sz w:val="28"/>
          <w:szCs w:val="28"/>
        </w:rPr>
        <w:t>Section 239 of the Municipal Act</w:t>
      </w:r>
      <w:r w:rsidR="0094032F">
        <w:rPr>
          <w:sz w:val="28"/>
          <w:szCs w:val="28"/>
        </w:rPr>
        <w:t xml:space="preserve"> 2001</w:t>
      </w:r>
      <w:r w:rsidRPr="008669A8">
        <w:rPr>
          <w:sz w:val="28"/>
          <w:szCs w:val="28"/>
        </w:rPr>
        <w:t xml:space="preserve"> provides that all meetings of a municipal council, local board or a committee of either of them shall be open to the public. This requirement is one of the elements of transparent local government. The section does set forth exceptions to this open meeting rule. It lists the reasons for which a meeting, or a portion of a meeting, may be closed to the public.</w:t>
      </w:r>
    </w:p>
    <w:p w:rsidR="003D58BF" w:rsidRPr="008669A8" w:rsidRDefault="003D58BF" w:rsidP="009A03C5">
      <w:pPr>
        <w:tabs>
          <w:tab w:val="left" w:pos="2266"/>
        </w:tabs>
        <w:rPr>
          <w:sz w:val="28"/>
          <w:szCs w:val="28"/>
        </w:rPr>
      </w:pPr>
    </w:p>
    <w:p w:rsidR="003D58BF" w:rsidRPr="008669A8" w:rsidRDefault="003D58BF" w:rsidP="009A03C5">
      <w:pPr>
        <w:tabs>
          <w:tab w:val="left" w:pos="2266"/>
        </w:tabs>
        <w:rPr>
          <w:sz w:val="28"/>
          <w:szCs w:val="28"/>
        </w:rPr>
      </w:pPr>
      <w:r w:rsidRPr="008669A8">
        <w:rPr>
          <w:sz w:val="28"/>
          <w:szCs w:val="28"/>
        </w:rPr>
        <w:t>Section 239 reads in part as follows.</w:t>
      </w:r>
    </w:p>
    <w:p w:rsidR="003D58BF" w:rsidRPr="008669A8" w:rsidRDefault="003D58BF" w:rsidP="009A03C5">
      <w:pPr>
        <w:tabs>
          <w:tab w:val="left" w:pos="2266"/>
        </w:tabs>
        <w:rPr>
          <w:sz w:val="28"/>
          <w:szCs w:val="28"/>
        </w:rPr>
      </w:pPr>
    </w:p>
    <w:p w:rsidR="003D58BF" w:rsidRPr="008669A8" w:rsidRDefault="003D58BF" w:rsidP="009A03C5">
      <w:pPr>
        <w:pStyle w:val="headnote-e"/>
        <w:rPr>
          <w:i/>
          <w:sz w:val="28"/>
          <w:szCs w:val="28"/>
        </w:rPr>
      </w:pPr>
      <w:r w:rsidRPr="008669A8">
        <w:rPr>
          <w:i/>
          <w:sz w:val="28"/>
          <w:szCs w:val="28"/>
        </w:rPr>
        <w:t>Meetings open to public</w:t>
      </w:r>
    </w:p>
    <w:bookmarkStart w:id="3" w:name="P3702_309827"/>
    <w:bookmarkStart w:id="4" w:name="s239s1"/>
    <w:bookmarkStart w:id="5" w:name="BK288"/>
    <w:bookmarkEnd w:id="3"/>
    <w:bookmarkEnd w:id="4"/>
    <w:bookmarkEnd w:id="5"/>
    <w:p w:rsidR="003D58BF" w:rsidRPr="008669A8" w:rsidRDefault="00DB16F6" w:rsidP="009A03C5">
      <w:pPr>
        <w:pStyle w:val="section-e"/>
        <w:rPr>
          <w:i/>
          <w:sz w:val="28"/>
          <w:szCs w:val="28"/>
        </w:rPr>
      </w:pPr>
      <w:r w:rsidRPr="008669A8">
        <w:rPr>
          <w:b/>
          <w:bCs/>
          <w:i/>
          <w:color w:val="auto"/>
          <w:sz w:val="28"/>
          <w:szCs w:val="28"/>
        </w:rPr>
        <w:fldChar w:fldCharType="begin"/>
      </w:r>
      <w:r w:rsidR="003D58BF" w:rsidRPr="008669A8">
        <w:rPr>
          <w:b/>
          <w:bCs/>
          <w:i/>
          <w:color w:val="auto"/>
          <w:sz w:val="28"/>
          <w:szCs w:val="28"/>
        </w:rPr>
        <w:instrText xml:space="preserve"> HYPERLINK "http://www.e-laws.gov.on.ca/html/statutes/french/elaws_statutes_01m25_f.htm" \l "s239s1" </w:instrText>
      </w:r>
      <w:r w:rsidRPr="008669A8">
        <w:rPr>
          <w:b/>
          <w:bCs/>
          <w:i/>
          <w:color w:val="auto"/>
          <w:sz w:val="28"/>
          <w:szCs w:val="28"/>
        </w:rPr>
        <w:fldChar w:fldCharType="separate"/>
      </w:r>
      <w:r w:rsidR="003D58BF" w:rsidRPr="008669A8">
        <w:rPr>
          <w:rStyle w:val="Hyperlink"/>
          <w:b/>
          <w:bCs/>
          <w:i/>
          <w:color w:val="auto"/>
          <w:sz w:val="28"/>
          <w:szCs w:val="28"/>
        </w:rPr>
        <w:t>239.</w:t>
      </w:r>
      <w:r w:rsidRPr="008669A8">
        <w:rPr>
          <w:b/>
          <w:bCs/>
          <w:i/>
          <w:color w:val="auto"/>
          <w:sz w:val="28"/>
          <w:szCs w:val="28"/>
        </w:rPr>
        <w:fldChar w:fldCharType="end"/>
      </w:r>
      <w:hyperlink r:id="rId7" w:anchor="s239s1" w:history="1">
        <w:r w:rsidR="003D58BF" w:rsidRPr="008669A8">
          <w:rPr>
            <w:rStyle w:val="Hyperlink"/>
            <w:i/>
            <w:color w:val="auto"/>
            <w:sz w:val="28"/>
            <w:szCs w:val="28"/>
          </w:rPr>
          <w:t>  (1)</w:t>
        </w:r>
      </w:hyperlink>
      <w:r w:rsidR="003D58BF" w:rsidRPr="008669A8">
        <w:rPr>
          <w:i/>
          <w:sz w:val="28"/>
          <w:szCs w:val="28"/>
        </w:rPr>
        <w:t>  Except as provided in this section, all meetings shall be open to the public. 2001, c. 25, s. 239 (1).</w:t>
      </w:r>
    </w:p>
    <w:p w:rsidR="003D58BF" w:rsidRPr="008669A8" w:rsidRDefault="003D58BF" w:rsidP="009A03C5">
      <w:pPr>
        <w:pStyle w:val="headnote-e"/>
        <w:rPr>
          <w:i/>
          <w:sz w:val="28"/>
          <w:szCs w:val="28"/>
        </w:rPr>
      </w:pPr>
      <w:r w:rsidRPr="008669A8">
        <w:rPr>
          <w:i/>
          <w:sz w:val="28"/>
          <w:szCs w:val="28"/>
        </w:rPr>
        <w:t>Exceptions</w:t>
      </w:r>
    </w:p>
    <w:bookmarkStart w:id="6" w:name="P3704_309958"/>
    <w:bookmarkStart w:id="7" w:name="s239s2"/>
    <w:bookmarkEnd w:id="6"/>
    <w:bookmarkEnd w:id="7"/>
    <w:p w:rsidR="003D58BF" w:rsidRPr="008669A8" w:rsidRDefault="00DB16F6" w:rsidP="009A03C5">
      <w:pPr>
        <w:pStyle w:val="subsection-e"/>
        <w:rPr>
          <w:i/>
          <w:sz w:val="28"/>
          <w:szCs w:val="28"/>
        </w:rPr>
      </w:pPr>
      <w:r w:rsidRPr="008669A8">
        <w:rPr>
          <w:i/>
          <w:color w:val="auto"/>
          <w:sz w:val="28"/>
          <w:szCs w:val="28"/>
        </w:rPr>
        <w:fldChar w:fldCharType="begin"/>
      </w:r>
      <w:r w:rsidR="003D58BF" w:rsidRPr="008669A8">
        <w:rPr>
          <w:i/>
          <w:color w:val="auto"/>
          <w:sz w:val="28"/>
          <w:szCs w:val="28"/>
        </w:rPr>
        <w:instrText xml:space="preserve"> HYPERLINK "http://www.e-laws.gov.on.ca/html/statutes/french/elaws_statutes_01m25_f.htm" \l "s239s2" </w:instrText>
      </w:r>
      <w:r w:rsidRPr="008669A8">
        <w:rPr>
          <w:i/>
          <w:color w:val="auto"/>
          <w:sz w:val="28"/>
          <w:szCs w:val="28"/>
        </w:rPr>
        <w:fldChar w:fldCharType="separate"/>
      </w:r>
      <w:r w:rsidR="003D58BF" w:rsidRPr="008669A8">
        <w:rPr>
          <w:rStyle w:val="Hyperlink"/>
          <w:i/>
          <w:color w:val="auto"/>
          <w:sz w:val="28"/>
          <w:szCs w:val="28"/>
        </w:rPr>
        <w:t>(2)</w:t>
      </w:r>
      <w:r w:rsidRPr="008669A8">
        <w:rPr>
          <w:i/>
          <w:color w:val="auto"/>
          <w:sz w:val="28"/>
          <w:szCs w:val="28"/>
        </w:rPr>
        <w:fldChar w:fldCharType="end"/>
      </w:r>
      <w:r w:rsidR="003D58BF" w:rsidRPr="008669A8">
        <w:rPr>
          <w:i/>
          <w:sz w:val="28"/>
          <w:szCs w:val="28"/>
        </w:rPr>
        <w:t>  A meeting or part of a meeting may be closed to the public if the subject matter being considered is,</w:t>
      </w:r>
    </w:p>
    <w:p w:rsidR="003D58BF" w:rsidRPr="008669A8" w:rsidRDefault="003D58BF" w:rsidP="009A03C5">
      <w:pPr>
        <w:pStyle w:val="clause-e"/>
        <w:rPr>
          <w:i/>
          <w:sz w:val="28"/>
          <w:szCs w:val="28"/>
        </w:rPr>
      </w:pPr>
      <w:r w:rsidRPr="008669A8">
        <w:rPr>
          <w:i/>
          <w:sz w:val="28"/>
          <w:szCs w:val="28"/>
        </w:rPr>
        <w:t>(a) the security of the property of the municipality or local board;</w:t>
      </w:r>
    </w:p>
    <w:p w:rsidR="003D58BF" w:rsidRPr="008669A8" w:rsidRDefault="003D58BF" w:rsidP="009A03C5">
      <w:pPr>
        <w:pStyle w:val="clause-e"/>
        <w:rPr>
          <w:i/>
          <w:sz w:val="28"/>
          <w:szCs w:val="28"/>
        </w:rPr>
      </w:pPr>
      <w:r w:rsidRPr="008669A8">
        <w:rPr>
          <w:i/>
          <w:sz w:val="28"/>
          <w:szCs w:val="28"/>
        </w:rPr>
        <w:t>(b) personal matters about an identifiable individual, including municipal or local board employees;</w:t>
      </w:r>
    </w:p>
    <w:p w:rsidR="003D58BF" w:rsidRPr="008669A8" w:rsidRDefault="003D58BF" w:rsidP="009A03C5">
      <w:pPr>
        <w:pStyle w:val="clause-e"/>
        <w:rPr>
          <w:i/>
          <w:sz w:val="28"/>
          <w:szCs w:val="28"/>
        </w:rPr>
      </w:pPr>
      <w:r w:rsidRPr="008669A8">
        <w:rPr>
          <w:i/>
          <w:sz w:val="28"/>
          <w:szCs w:val="28"/>
        </w:rPr>
        <w:t>(c) a proposed or pending acquisition or disposition of land by the municipality or local board;</w:t>
      </w:r>
    </w:p>
    <w:p w:rsidR="003D58BF" w:rsidRPr="008669A8" w:rsidRDefault="003D58BF" w:rsidP="009A03C5">
      <w:pPr>
        <w:pStyle w:val="clause-e"/>
        <w:rPr>
          <w:i/>
          <w:sz w:val="28"/>
          <w:szCs w:val="28"/>
        </w:rPr>
      </w:pPr>
      <w:r w:rsidRPr="008669A8">
        <w:rPr>
          <w:i/>
          <w:sz w:val="28"/>
          <w:szCs w:val="28"/>
        </w:rPr>
        <w:t>(d) labour relations or employee negotiations;</w:t>
      </w:r>
    </w:p>
    <w:p w:rsidR="003D58BF" w:rsidRPr="008669A8" w:rsidRDefault="003D58BF" w:rsidP="009A03C5">
      <w:pPr>
        <w:pStyle w:val="clause-e"/>
        <w:rPr>
          <w:i/>
          <w:sz w:val="28"/>
          <w:szCs w:val="28"/>
        </w:rPr>
      </w:pPr>
      <w:r w:rsidRPr="008669A8">
        <w:rPr>
          <w:i/>
          <w:sz w:val="28"/>
          <w:szCs w:val="28"/>
        </w:rPr>
        <w:t>(e) litigation or potential litigation, including matters before administrative tribunals, affecting the municipality or local board;</w:t>
      </w:r>
    </w:p>
    <w:p w:rsidR="003D58BF" w:rsidRPr="008669A8" w:rsidRDefault="003D58BF" w:rsidP="009A03C5">
      <w:pPr>
        <w:pStyle w:val="clause-e"/>
        <w:rPr>
          <w:i/>
          <w:sz w:val="28"/>
          <w:szCs w:val="28"/>
        </w:rPr>
      </w:pPr>
      <w:r w:rsidRPr="008669A8">
        <w:rPr>
          <w:i/>
          <w:sz w:val="28"/>
          <w:szCs w:val="28"/>
        </w:rPr>
        <w:t>(f) advice that is subject to solicitor-client privilege, including communications necessary for that purpose;</w:t>
      </w:r>
    </w:p>
    <w:p w:rsidR="003D58BF" w:rsidRDefault="003D58BF" w:rsidP="009A03C5">
      <w:pPr>
        <w:pStyle w:val="clause-e"/>
        <w:rPr>
          <w:i/>
          <w:sz w:val="28"/>
          <w:szCs w:val="28"/>
        </w:rPr>
      </w:pPr>
      <w:r w:rsidRPr="008669A8">
        <w:rPr>
          <w:i/>
          <w:sz w:val="28"/>
          <w:szCs w:val="28"/>
        </w:rPr>
        <w:t>(g) a matter in respect of which a council, board, committee or other body may hold a closed meeting under another Act. 2001, c. 25, s. 239 (2).</w:t>
      </w:r>
    </w:p>
    <w:p w:rsidR="003D58BF" w:rsidRDefault="003D58BF" w:rsidP="009A03C5">
      <w:pPr>
        <w:pStyle w:val="clause-e"/>
        <w:rPr>
          <w:i/>
          <w:sz w:val="28"/>
          <w:szCs w:val="28"/>
        </w:rPr>
      </w:pPr>
    </w:p>
    <w:p w:rsidR="003D58BF" w:rsidRDefault="003D58BF" w:rsidP="009A03C5">
      <w:pPr>
        <w:pStyle w:val="clause-e"/>
        <w:rPr>
          <w:i/>
          <w:sz w:val="28"/>
          <w:szCs w:val="28"/>
        </w:rPr>
      </w:pPr>
    </w:p>
    <w:p w:rsidR="003D58BF" w:rsidRPr="008669A8" w:rsidRDefault="003D58BF" w:rsidP="009A03C5">
      <w:pPr>
        <w:pStyle w:val="clause-e"/>
        <w:rPr>
          <w:i/>
          <w:sz w:val="28"/>
          <w:szCs w:val="28"/>
        </w:rPr>
      </w:pPr>
      <w:r>
        <w:rPr>
          <w:i/>
          <w:sz w:val="28"/>
          <w:szCs w:val="28"/>
        </w:rPr>
        <w:br w:type="page"/>
      </w:r>
    </w:p>
    <w:p w:rsidR="003D58BF" w:rsidRPr="008669A8" w:rsidRDefault="003D58BF" w:rsidP="009A03C5">
      <w:pPr>
        <w:pStyle w:val="headnote-e"/>
        <w:rPr>
          <w:i/>
          <w:sz w:val="28"/>
          <w:szCs w:val="28"/>
        </w:rPr>
      </w:pPr>
      <w:r w:rsidRPr="008669A8">
        <w:rPr>
          <w:i/>
          <w:sz w:val="28"/>
          <w:szCs w:val="28"/>
        </w:rPr>
        <w:t>Other criteria</w:t>
      </w:r>
    </w:p>
    <w:bookmarkStart w:id="8" w:name="P3713_310774"/>
    <w:bookmarkStart w:id="9" w:name="s239s3"/>
    <w:bookmarkEnd w:id="8"/>
    <w:bookmarkEnd w:id="9"/>
    <w:p w:rsidR="003D58BF" w:rsidRPr="008669A8" w:rsidRDefault="00DB16F6" w:rsidP="009A03C5">
      <w:pPr>
        <w:pStyle w:val="subsection-e"/>
        <w:rPr>
          <w:i/>
          <w:sz w:val="28"/>
          <w:szCs w:val="28"/>
        </w:rPr>
      </w:pPr>
      <w:r w:rsidRPr="008669A8">
        <w:rPr>
          <w:i/>
          <w:color w:val="auto"/>
          <w:sz w:val="28"/>
          <w:szCs w:val="28"/>
        </w:rPr>
        <w:fldChar w:fldCharType="begin"/>
      </w:r>
      <w:r w:rsidR="003D58BF" w:rsidRPr="008669A8">
        <w:rPr>
          <w:i/>
          <w:color w:val="auto"/>
          <w:sz w:val="28"/>
          <w:szCs w:val="28"/>
        </w:rPr>
        <w:instrText xml:space="preserve"> HYPERLINK "http://www.e-laws.gov.on.ca/html/statutes/french/elaws_statutes_01m25_f.htm" \l "s239s3" </w:instrText>
      </w:r>
      <w:r w:rsidRPr="008669A8">
        <w:rPr>
          <w:i/>
          <w:color w:val="auto"/>
          <w:sz w:val="28"/>
          <w:szCs w:val="28"/>
        </w:rPr>
        <w:fldChar w:fldCharType="separate"/>
      </w:r>
      <w:r w:rsidR="003D58BF" w:rsidRPr="008669A8">
        <w:rPr>
          <w:rStyle w:val="Hyperlink"/>
          <w:i/>
          <w:color w:val="auto"/>
          <w:sz w:val="28"/>
          <w:szCs w:val="28"/>
        </w:rPr>
        <w:t>(3)</w:t>
      </w:r>
      <w:r w:rsidRPr="008669A8">
        <w:rPr>
          <w:i/>
          <w:color w:val="auto"/>
          <w:sz w:val="28"/>
          <w:szCs w:val="28"/>
        </w:rPr>
        <w:fldChar w:fldCharType="end"/>
      </w:r>
      <w:r w:rsidR="003D58BF" w:rsidRPr="008669A8">
        <w:rPr>
          <w:i/>
          <w:color w:val="auto"/>
          <w:sz w:val="28"/>
          <w:szCs w:val="28"/>
        </w:rPr>
        <w:t>  </w:t>
      </w:r>
      <w:r w:rsidR="003D58BF" w:rsidRPr="008669A8">
        <w:rPr>
          <w:i/>
          <w:sz w:val="28"/>
          <w:szCs w:val="28"/>
        </w:rPr>
        <w:t xml:space="preserve">A meeting shall be closed to the public if the subject matter relates to the consideration of a request under the </w:t>
      </w:r>
      <w:r w:rsidR="003D58BF" w:rsidRPr="008669A8">
        <w:rPr>
          <w:i/>
          <w:iCs/>
          <w:sz w:val="28"/>
          <w:szCs w:val="28"/>
        </w:rPr>
        <w:t>Municipal Freedom of Information and Protection of Privacy Act</w:t>
      </w:r>
      <w:r w:rsidR="003D58BF" w:rsidRPr="008669A8">
        <w:rPr>
          <w:i/>
          <w:sz w:val="28"/>
          <w:szCs w:val="28"/>
        </w:rPr>
        <w:t xml:space="preserve"> if the council, board, commission or other body is the head of an institution for the purposes of that Act. 2001, c. 25, s. 239 (3).</w:t>
      </w:r>
    </w:p>
    <w:p w:rsidR="003D58BF" w:rsidRPr="008669A8" w:rsidRDefault="003D58BF" w:rsidP="009A03C5">
      <w:pPr>
        <w:pStyle w:val="headnote-e"/>
        <w:rPr>
          <w:i/>
          <w:sz w:val="28"/>
          <w:szCs w:val="28"/>
        </w:rPr>
      </w:pPr>
      <w:r w:rsidRPr="008669A8">
        <w:rPr>
          <w:i/>
          <w:sz w:val="28"/>
          <w:szCs w:val="28"/>
        </w:rPr>
        <w:t>Educational or training sessions</w:t>
      </w:r>
    </w:p>
    <w:bookmarkStart w:id="10" w:name="P3715_311126"/>
    <w:bookmarkStart w:id="11" w:name="s239s3p1"/>
    <w:bookmarkEnd w:id="10"/>
    <w:bookmarkEnd w:id="11"/>
    <w:p w:rsidR="003D58BF" w:rsidRPr="008669A8" w:rsidRDefault="00DB16F6" w:rsidP="009A03C5">
      <w:pPr>
        <w:pStyle w:val="subsection-e"/>
        <w:rPr>
          <w:i/>
          <w:sz w:val="28"/>
          <w:szCs w:val="28"/>
        </w:rPr>
      </w:pPr>
      <w:r w:rsidRPr="008669A8">
        <w:rPr>
          <w:i/>
          <w:color w:val="auto"/>
          <w:sz w:val="28"/>
          <w:szCs w:val="28"/>
        </w:rPr>
        <w:fldChar w:fldCharType="begin"/>
      </w:r>
      <w:r w:rsidR="003D58BF" w:rsidRPr="008669A8">
        <w:rPr>
          <w:i/>
          <w:color w:val="auto"/>
          <w:sz w:val="28"/>
          <w:szCs w:val="28"/>
        </w:rPr>
        <w:instrText xml:space="preserve"> HYPERLINK "http://www.e-laws.gov.on.ca/html/statutes/french/elaws_statutes_01m25_f.htm" \l "s239s3p1" </w:instrText>
      </w:r>
      <w:r w:rsidRPr="008669A8">
        <w:rPr>
          <w:i/>
          <w:color w:val="auto"/>
          <w:sz w:val="28"/>
          <w:szCs w:val="28"/>
        </w:rPr>
        <w:fldChar w:fldCharType="separate"/>
      </w:r>
      <w:r w:rsidR="003D58BF" w:rsidRPr="008669A8">
        <w:rPr>
          <w:rStyle w:val="Hyperlink"/>
          <w:i/>
          <w:color w:val="auto"/>
          <w:sz w:val="28"/>
          <w:szCs w:val="28"/>
        </w:rPr>
        <w:t>(3.1)</w:t>
      </w:r>
      <w:r w:rsidRPr="008669A8">
        <w:rPr>
          <w:i/>
          <w:color w:val="auto"/>
          <w:sz w:val="28"/>
          <w:szCs w:val="28"/>
        </w:rPr>
        <w:fldChar w:fldCharType="end"/>
      </w:r>
      <w:r w:rsidR="003D58BF" w:rsidRPr="008669A8">
        <w:rPr>
          <w:i/>
          <w:sz w:val="28"/>
          <w:szCs w:val="28"/>
        </w:rPr>
        <w:t>  </w:t>
      </w:r>
      <w:proofErr w:type="gramStart"/>
      <w:r w:rsidR="003D58BF" w:rsidRPr="008669A8">
        <w:rPr>
          <w:i/>
          <w:sz w:val="28"/>
          <w:szCs w:val="28"/>
        </w:rPr>
        <w:t>A</w:t>
      </w:r>
      <w:proofErr w:type="gramEnd"/>
      <w:r w:rsidR="003D58BF" w:rsidRPr="008669A8">
        <w:rPr>
          <w:i/>
          <w:sz w:val="28"/>
          <w:szCs w:val="28"/>
        </w:rPr>
        <w:t xml:space="preserve"> meeting of a council or local board or of a committee of either of them may be closed to the public if the following conditions are both satisfied:</w:t>
      </w:r>
    </w:p>
    <w:p w:rsidR="003D58BF" w:rsidRPr="008669A8" w:rsidRDefault="003D58BF" w:rsidP="009A03C5">
      <w:pPr>
        <w:pStyle w:val="paragraph-e"/>
        <w:rPr>
          <w:i/>
          <w:sz w:val="28"/>
          <w:szCs w:val="28"/>
        </w:rPr>
      </w:pPr>
      <w:r w:rsidRPr="008669A8">
        <w:rPr>
          <w:i/>
          <w:sz w:val="28"/>
          <w:szCs w:val="28"/>
        </w:rPr>
        <w:t>1. The meeting is held for the purpose of educating or training the members.</w:t>
      </w:r>
    </w:p>
    <w:p w:rsidR="003D58BF" w:rsidRPr="008669A8" w:rsidRDefault="003D58BF" w:rsidP="009A03C5">
      <w:pPr>
        <w:pStyle w:val="paragraph-e"/>
        <w:rPr>
          <w:i/>
          <w:sz w:val="28"/>
          <w:szCs w:val="28"/>
        </w:rPr>
      </w:pPr>
      <w:r w:rsidRPr="008669A8">
        <w:rPr>
          <w:i/>
          <w:sz w:val="28"/>
          <w:szCs w:val="28"/>
        </w:rPr>
        <w:t>2. At the meeting, no member discusses or otherwise deals with any matter in a way that materially advances the business or decision-making of the council, local board or committee. 2006, c. 32, Sched. A, s. 103 (1).</w:t>
      </w:r>
    </w:p>
    <w:p w:rsidR="003D58BF" w:rsidRPr="008669A8" w:rsidRDefault="003D58BF" w:rsidP="009A03C5">
      <w:pPr>
        <w:tabs>
          <w:tab w:val="left" w:pos="2266"/>
        </w:tabs>
        <w:rPr>
          <w:sz w:val="28"/>
          <w:szCs w:val="28"/>
        </w:rPr>
      </w:pPr>
    </w:p>
    <w:p w:rsidR="003D58BF" w:rsidRPr="008669A8" w:rsidRDefault="003D58BF" w:rsidP="009A03C5">
      <w:pPr>
        <w:tabs>
          <w:tab w:val="left" w:pos="2266"/>
        </w:tabs>
        <w:rPr>
          <w:sz w:val="28"/>
          <w:szCs w:val="28"/>
        </w:rPr>
      </w:pPr>
      <w:r w:rsidRPr="008669A8">
        <w:rPr>
          <w:sz w:val="28"/>
          <w:szCs w:val="28"/>
        </w:rPr>
        <w:t>Section 239 also requires that before a council, local board or committee moves into a closed meeting, it shall pass a resolution at a public meeting indicating that there is to be a closed meeting. The resolution also must include the general nature of the matter(s) to be deliberated at the closed meeting.</w:t>
      </w:r>
    </w:p>
    <w:p w:rsidR="003D58BF" w:rsidRPr="008669A8" w:rsidRDefault="003D58BF" w:rsidP="009A03C5">
      <w:pPr>
        <w:tabs>
          <w:tab w:val="left" w:pos="2266"/>
        </w:tabs>
        <w:rPr>
          <w:sz w:val="28"/>
          <w:szCs w:val="28"/>
        </w:rPr>
      </w:pPr>
    </w:p>
    <w:p w:rsidR="003D58BF" w:rsidRPr="008669A8" w:rsidRDefault="003D58BF" w:rsidP="009A03C5">
      <w:pPr>
        <w:tabs>
          <w:tab w:val="left" w:pos="2266"/>
        </w:tabs>
        <w:rPr>
          <w:sz w:val="28"/>
          <w:szCs w:val="28"/>
        </w:rPr>
      </w:pPr>
      <w:r w:rsidRPr="008669A8">
        <w:rPr>
          <w:sz w:val="28"/>
          <w:szCs w:val="28"/>
        </w:rPr>
        <w:t>No matter or item other than the matter(s) expressly referred to in the public resolution may be discussed or otherwise dealt with at the closed meeting.</w:t>
      </w:r>
    </w:p>
    <w:p w:rsidR="003D58BF" w:rsidRPr="008669A8" w:rsidRDefault="003D58BF" w:rsidP="009A03C5">
      <w:pPr>
        <w:tabs>
          <w:tab w:val="left" w:pos="2266"/>
        </w:tabs>
        <w:rPr>
          <w:sz w:val="28"/>
          <w:szCs w:val="28"/>
        </w:rPr>
      </w:pPr>
    </w:p>
    <w:p w:rsidR="003D58BF" w:rsidRPr="008669A8" w:rsidRDefault="003D58BF" w:rsidP="009A03C5">
      <w:pPr>
        <w:tabs>
          <w:tab w:val="left" w:pos="2266"/>
        </w:tabs>
        <w:rPr>
          <w:sz w:val="28"/>
          <w:szCs w:val="28"/>
        </w:rPr>
      </w:pPr>
      <w:r w:rsidRPr="008669A8">
        <w:rPr>
          <w:sz w:val="28"/>
          <w:szCs w:val="28"/>
        </w:rPr>
        <w:t>Subsections 239 (5) and (6) limit the actions that the council, committee or local board may take at the closed meeting. Votes may be taken only for procedural matters or for giving direction to staff or persons retained by the municipality.</w:t>
      </w:r>
    </w:p>
    <w:p w:rsidR="003D58BF" w:rsidRPr="008669A8" w:rsidRDefault="003D58BF" w:rsidP="009A03C5">
      <w:pPr>
        <w:rPr>
          <w:b/>
          <w:sz w:val="28"/>
          <w:szCs w:val="28"/>
          <w:u w:val="single"/>
        </w:rPr>
      </w:pPr>
    </w:p>
    <w:bookmarkEnd w:id="1"/>
    <w:bookmarkEnd w:id="2"/>
    <w:p w:rsidR="003D58BF" w:rsidRPr="008669A8" w:rsidRDefault="003D58BF" w:rsidP="009A03C5">
      <w:pPr>
        <w:rPr>
          <w:b/>
          <w:sz w:val="28"/>
          <w:szCs w:val="28"/>
          <w:u w:val="single"/>
        </w:rPr>
      </w:pPr>
      <w:r>
        <w:rPr>
          <w:b/>
          <w:sz w:val="28"/>
          <w:szCs w:val="28"/>
          <w:u w:val="single"/>
        </w:rPr>
        <w:br w:type="page"/>
      </w:r>
    </w:p>
    <w:p w:rsidR="003D58BF" w:rsidRPr="008669A8" w:rsidRDefault="003D58BF" w:rsidP="009A03C5">
      <w:pPr>
        <w:rPr>
          <w:b/>
          <w:sz w:val="28"/>
          <w:szCs w:val="28"/>
          <w:u w:val="single"/>
        </w:rPr>
      </w:pPr>
      <w:r w:rsidRPr="008669A8">
        <w:rPr>
          <w:b/>
          <w:sz w:val="28"/>
          <w:szCs w:val="28"/>
          <w:u w:val="single"/>
        </w:rPr>
        <w:t>Investigation</w:t>
      </w:r>
    </w:p>
    <w:p w:rsidR="003D58BF" w:rsidRPr="008669A8" w:rsidRDefault="003D58BF" w:rsidP="009A03C5">
      <w:pPr>
        <w:rPr>
          <w:b/>
          <w:sz w:val="28"/>
          <w:szCs w:val="28"/>
          <w:u w:val="single"/>
        </w:rPr>
      </w:pPr>
    </w:p>
    <w:p w:rsidR="003D58BF" w:rsidRDefault="003D58BF" w:rsidP="009A03C5">
      <w:pPr>
        <w:rPr>
          <w:sz w:val="28"/>
          <w:szCs w:val="28"/>
        </w:rPr>
      </w:pPr>
      <w:r w:rsidRPr="008669A8">
        <w:rPr>
          <w:sz w:val="28"/>
          <w:szCs w:val="28"/>
        </w:rPr>
        <w:t xml:space="preserve">The investigation into the complaint began on </w:t>
      </w:r>
      <w:r w:rsidR="00EA75D6">
        <w:rPr>
          <w:sz w:val="28"/>
          <w:szCs w:val="28"/>
        </w:rPr>
        <w:t>December1, 2011</w:t>
      </w:r>
      <w:r>
        <w:rPr>
          <w:sz w:val="28"/>
          <w:szCs w:val="28"/>
        </w:rPr>
        <w:t>.</w:t>
      </w:r>
      <w:r w:rsidR="00F32A53">
        <w:rPr>
          <w:sz w:val="28"/>
          <w:szCs w:val="28"/>
        </w:rPr>
        <w:t xml:space="preserve"> Those interviewed were the Municipal Clerk, The Deputy Mayor, the Mayor, and the Chief Administrative Officer.</w:t>
      </w:r>
    </w:p>
    <w:p w:rsidR="003D58BF" w:rsidRDefault="003D58BF" w:rsidP="009A03C5">
      <w:pPr>
        <w:rPr>
          <w:sz w:val="28"/>
          <w:szCs w:val="28"/>
        </w:rPr>
      </w:pPr>
    </w:p>
    <w:p w:rsidR="00F402C7" w:rsidRDefault="003D58BF" w:rsidP="009A03C5">
      <w:pPr>
        <w:rPr>
          <w:sz w:val="28"/>
          <w:szCs w:val="28"/>
        </w:rPr>
      </w:pPr>
      <w:r w:rsidRPr="008669A8">
        <w:rPr>
          <w:sz w:val="28"/>
          <w:szCs w:val="28"/>
        </w:rPr>
        <w:t>The agenda</w:t>
      </w:r>
      <w:r w:rsidR="004C5701">
        <w:rPr>
          <w:sz w:val="28"/>
          <w:szCs w:val="28"/>
        </w:rPr>
        <w:t>s</w:t>
      </w:r>
      <w:r w:rsidRPr="008669A8">
        <w:rPr>
          <w:sz w:val="28"/>
          <w:szCs w:val="28"/>
        </w:rPr>
        <w:t xml:space="preserve"> for the Council meeting</w:t>
      </w:r>
      <w:r w:rsidR="004C5701">
        <w:rPr>
          <w:sz w:val="28"/>
          <w:szCs w:val="28"/>
        </w:rPr>
        <w:t>s</w:t>
      </w:r>
      <w:r w:rsidRPr="008669A8">
        <w:rPr>
          <w:sz w:val="28"/>
          <w:szCs w:val="28"/>
        </w:rPr>
        <w:t xml:space="preserve"> in question w</w:t>
      </w:r>
      <w:r w:rsidR="004C5701">
        <w:rPr>
          <w:sz w:val="28"/>
          <w:szCs w:val="28"/>
        </w:rPr>
        <w:t>ere</w:t>
      </w:r>
      <w:r w:rsidRPr="008669A8">
        <w:rPr>
          <w:sz w:val="28"/>
          <w:szCs w:val="28"/>
        </w:rPr>
        <w:t xml:space="preserve"> prepared by the </w:t>
      </w:r>
      <w:r w:rsidR="00F402C7">
        <w:rPr>
          <w:sz w:val="28"/>
          <w:szCs w:val="28"/>
        </w:rPr>
        <w:t>Municipal</w:t>
      </w:r>
      <w:r w:rsidRPr="008669A8">
        <w:rPr>
          <w:sz w:val="28"/>
          <w:szCs w:val="28"/>
        </w:rPr>
        <w:t xml:space="preserve"> Clerk and her staff.  Documents provided by the </w:t>
      </w:r>
      <w:r w:rsidR="00F32A53">
        <w:rPr>
          <w:sz w:val="28"/>
          <w:szCs w:val="28"/>
        </w:rPr>
        <w:t>Municipality</w:t>
      </w:r>
      <w:r w:rsidRPr="008669A8">
        <w:rPr>
          <w:sz w:val="28"/>
          <w:szCs w:val="28"/>
        </w:rPr>
        <w:t xml:space="preserve"> and reviewed during the cour</w:t>
      </w:r>
      <w:r>
        <w:rPr>
          <w:sz w:val="28"/>
          <w:szCs w:val="28"/>
        </w:rPr>
        <w:t>se of the investigation included</w:t>
      </w:r>
      <w:r w:rsidRPr="008669A8">
        <w:rPr>
          <w:sz w:val="28"/>
          <w:szCs w:val="28"/>
        </w:rPr>
        <w:t xml:space="preserve"> agendas, minutes, correspondence, reports, the Township’s Procedural By-law, Notice </w:t>
      </w:r>
      <w:r w:rsidR="00464318">
        <w:rPr>
          <w:sz w:val="28"/>
          <w:szCs w:val="28"/>
        </w:rPr>
        <w:t>P</w:t>
      </w:r>
      <w:r w:rsidRPr="008669A8">
        <w:rPr>
          <w:sz w:val="28"/>
          <w:szCs w:val="28"/>
        </w:rPr>
        <w:t xml:space="preserve">olicy and applicable legislation. </w:t>
      </w:r>
    </w:p>
    <w:p w:rsidR="00F402C7" w:rsidRDefault="00F402C7" w:rsidP="009A03C5">
      <w:pPr>
        <w:rPr>
          <w:sz w:val="28"/>
          <w:szCs w:val="28"/>
        </w:rPr>
      </w:pPr>
    </w:p>
    <w:p w:rsidR="003D58BF" w:rsidRPr="007B525B" w:rsidRDefault="003D58BF" w:rsidP="009A03C5">
      <w:pPr>
        <w:rPr>
          <w:b/>
          <w:sz w:val="28"/>
          <w:szCs w:val="28"/>
          <w:u w:val="single"/>
        </w:rPr>
      </w:pPr>
      <w:r w:rsidRPr="007B525B">
        <w:rPr>
          <w:b/>
          <w:sz w:val="28"/>
          <w:szCs w:val="28"/>
          <w:u w:val="single"/>
        </w:rPr>
        <w:t>Observations</w:t>
      </w:r>
    </w:p>
    <w:p w:rsidR="003D58BF" w:rsidRPr="008669A8" w:rsidRDefault="003D58BF" w:rsidP="009A03C5">
      <w:pPr>
        <w:rPr>
          <w:b/>
          <w:sz w:val="28"/>
          <w:szCs w:val="28"/>
          <w:u w:val="single"/>
        </w:rPr>
      </w:pPr>
    </w:p>
    <w:p w:rsidR="003D58BF" w:rsidRPr="008669A8" w:rsidRDefault="003D58BF" w:rsidP="009A03C5">
      <w:pPr>
        <w:numPr>
          <w:ilvl w:val="0"/>
          <w:numId w:val="1"/>
        </w:numPr>
        <w:rPr>
          <w:b/>
          <w:sz w:val="28"/>
          <w:szCs w:val="28"/>
        </w:rPr>
      </w:pPr>
      <w:r w:rsidRPr="008669A8">
        <w:rPr>
          <w:b/>
          <w:sz w:val="28"/>
          <w:szCs w:val="28"/>
        </w:rPr>
        <w:t xml:space="preserve">The </w:t>
      </w:r>
      <w:r w:rsidR="00652DE9">
        <w:rPr>
          <w:b/>
          <w:sz w:val="28"/>
          <w:szCs w:val="28"/>
        </w:rPr>
        <w:t>Municipality’s</w:t>
      </w:r>
      <w:r w:rsidRPr="008669A8">
        <w:rPr>
          <w:b/>
          <w:sz w:val="28"/>
          <w:szCs w:val="28"/>
        </w:rPr>
        <w:t xml:space="preserve"> Procedural By-law</w:t>
      </w:r>
    </w:p>
    <w:p w:rsidR="003D58BF" w:rsidRPr="008669A8" w:rsidRDefault="003D58BF" w:rsidP="009A03C5">
      <w:pPr>
        <w:ind w:left="360"/>
        <w:rPr>
          <w:b/>
          <w:sz w:val="28"/>
          <w:szCs w:val="28"/>
        </w:rPr>
      </w:pPr>
    </w:p>
    <w:p w:rsidR="003D58BF" w:rsidRPr="008669A8" w:rsidRDefault="003D58BF" w:rsidP="009A03C5">
      <w:pPr>
        <w:rPr>
          <w:sz w:val="28"/>
          <w:szCs w:val="28"/>
        </w:rPr>
      </w:pPr>
      <w:r w:rsidRPr="008669A8">
        <w:rPr>
          <w:sz w:val="28"/>
          <w:szCs w:val="28"/>
        </w:rPr>
        <w:t>Subsection 238 (2) of the Municipal Act requires that every municipality and local board pass a procedural by-law for governing the calling, place and proceedings of meetings. Subsection 238 (2.1) was added by Bill 130 and provides that the procedur</w:t>
      </w:r>
      <w:r w:rsidR="0094032F">
        <w:rPr>
          <w:sz w:val="28"/>
          <w:szCs w:val="28"/>
        </w:rPr>
        <w:t>al</w:t>
      </w:r>
      <w:r w:rsidRPr="008669A8">
        <w:rPr>
          <w:sz w:val="28"/>
          <w:szCs w:val="28"/>
        </w:rPr>
        <w:t xml:space="preserve"> by-law shall provide for public notice of meetings. </w:t>
      </w:r>
    </w:p>
    <w:p w:rsidR="003D58BF" w:rsidRPr="008669A8" w:rsidRDefault="003D58BF" w:rsidP="009A03C5">
      <w:pPr>
        <w:rPr>
          <w:sz w:val="28"/>
          <w:szCs w:val="28"/>
        </w:rPr>
      </w:pPr>
    </w:p>
    <w:p w:rsidR="00966312" w:rsidRDefault="003D58BF" w:rsidP="00966312">
      <w:pPr>
        <w:rPr>
          <w:sz w:val="28"/>
          <w:szCs w:val="28"/>
        </w:rPr>
      </w:pPr>
      <w:r w:rsidRPr="008669A8">
        <w:rPr>
          <w:sz w:val="28"/>
          <w:szCs w:val="28"/>
        </w:rPr>
        <w:t xml:space="preserve">The Township’s Procedural By-law Number </w:t>
      </w:r>
      <w:r w:rsidR="00652DE9">
        <w:rPr>
          <w:sz w:val="28"/>
          <w:szCs w:val="28"/>
        </w:rPr>
        <w:t>2009-56</w:t>
      </w:r>
      <w:r w:rsidRPr="008669A8">
        <w:rPr>
          <w:sz w:val="28"/>
          <w:szCs w:val="28"/>
        </w:rPr>
        <w:t xml:space="preserve"> was passe</w:t>
      </w:r>
      <w:r>
        <w:rPr>
          <w:sz w:val="28"/>
          <w:szCs w:val="28"/>
        </w:rPr>
        <w:t xml:space="preserve">d on </w:t>
      </w:r>
      <w:r w:rsidR="00652DE9">
        <w:rPr>
          <w:sz w:val="28"/>
          <w:szCs w:val="28"/>
        </w:rPr>
        <w:t>June 22, 2009 and was found to be current with respect to closed meeting procedures and notice of meetings.</w:t>
      </w:r>
    </w:p>
    <w:p w:rsidR="00966312" w:rsidRDefault="00966312" w:rsidP="00966312">
      <w:pPr>
        <w:rPr>
          <w:sz w:val="28"/>
          <w:szCs w:val="28"/>
        </w:rPr>
      </w:pPr>
    </w:p>
    <w:p w:rsidR="003D58BF" w:rsidRPr="008669A8" w:rsidRDefault="00966312" w:rsidP="00966312">
      <w:pPr>
        <w:rPr>
          <w:b/>
          <w:sz w:val="28"/>
          <w:szCs w:val="28"/>
        </w:rPr>
      </w:pPr>
      <w:r>
        <w:rPr>
          <w:sz w:val="28"/>
          <w:szCs w:val="28"/>
        </w:rPr>
        <w:t xml:space="preserve">Public notice was found to have been given with respect </w:t>
      </w:r>
      <w:r w:rsidR="00C345B6">
        <w:rPr>
          <w:sz w:val="28"/>
          <w:szCs w:val="28"/>
        </w:rPr>
        <w:t>to</w:t>
      </w:r>
      <w:r>
        <w:rPr>
          <w:sz w:val="28"/>
          <w:szCs w:val="28"/>
        </w:rPr>
        <w:t xml:space="preserve"> the meetings in question in accordance with the By-law.</w:t>
      </w:r>
      <w:r w:rsidR="003D58BF" w:rsidRPr="008669A8">
        <w:rPr>
          <w:b/>
          <w:sz w:val="28"/>
          <w:szCs w:val="28"/>
        </w:rPr>
        <w:t xml:space="preserve"> </w:t>
      </w:r>
    </w:p>
    <w:p w:rsidR="003D58BF" w:rsidRPr="008669A8" w:rsidRDefault="003D58BF" w:rsidP="009A03C5">
      <w:pPr>
        <w:rPr>
          <w:sz w:val="28"/>
          <w:szCs w:val="28"/>
        </w:rPr>
      </w:pPr>
    </w:p>
    <w:p w:rsidR="003D58BF" w:rsidRPr="008669A8" w:rsidRDefault="003D58BF" w:rsidP="009A03C5">
      <w:pPr>
        <w:rPr>
          <w:sz w:val="28"/>
          <w:szCs w:val="28"/>
        </w:rPr>
      </w:pPr>
      <w:r>
        <w:rPr>
          <w:sz w:val="28"/>
          <w:szCs w:val="28"/>
        </w:rPr>
        <w:t>.</w:t>
      </w:r>
    </w:p>
    <w:p w:rsidR="003D58BF" w:rsidRPr="008669A8" w:rsidRDefault="003D58BF" w:rsidP="009A03C5">
      <w:pPr>
        <w:rPr>
          <w:sz w:val="28"/>
          <w:szCs w:val="28"/>
        </w:rPr>
      </w:pPr>
    </w:p>
    <w:p w:rsidR="003D58BF" w:rsidRPr="008669A8" w:rsidRDefault="003D58BF" w:rsidP="009A03C5">
      <w:pPr>
        <w:rPr>
          <w:sz w:val="28"/>
          <w:szCs w:val="28"/>
        </w:rPr>
      </w:pPr>
    </w:p>
    <w:p w:rsidR="005D5C99" w:rsidRPr="004C5701" w:rsidRDefault="007C5463" w:rsidP="009A03C5">
      <w:pPr>
        <w:numPr>
          <w:ilvl w:val="0"/>
          <w:numId w:val="1"/>
        </w:numPr>
        <w:rPr>
          <w:sz w:val="28"/>
          <w:szCs w:val="28"/>
        </w:rPr>
      </w:pPr>
      <w:r w:rsidRPr="007C5463">
        <w:rPr>
          <w:b/>
          <w:sz w:val="28"/>
          <w:szCs w:val="28"/>
        </w:rPr>
        <w:t>Meeting Agenda</w:t>
      </w:r>
      <w:r>
        <w:rPr>
          <w:b/>
          <w:sz w:val="28"/>
          <w:szCs w:val="28"/>
        </w:rPr>
        <w:t>s</w:t>
      </w:r>
    </w:p>
    <w:p w:rsidR="004C5701" w:rsidRPr="005D5C99" w:rsidRDefault="004C5701" w:rsidP="004C5701">
      <w:pPr>
        <w:ind w:left="720"/>
        <w:rPr>
          <w:sz w:val="28"/>
          <w:szCs w:val="28"/>
        </w:rPr>
      </w:pPr>
    </w:p>
    <w:p w:rsidR="003D58BF" w:rsidRDefault="005D5C99" w:rsidP="005D5C99">
      <w:pPr>
        <w:rPr>
          <w:sz w:val="28"/>
          <w:szCs w:val="28"/>
        </w:rPr>
      </w:pPr>
      <w:r w:rsidRPr="004C5701">
        <w:rPr>
          <w:sz w:val="28"/>
          <w:szCs w:val="28"/>
        </w:rPr>
        <w:t xml:space="preserve">Although not required by the Act, the agendas for the </w:t>
      </w:r>
      <w:r w:rsidR="00C345B6" w:rsidRPr="004C5701">
        <w:rPr>
          <w:sz w:val="28"/>
          <w:szCs w:val="28"/>
        </w:rPr>
        <w:t>Council</w:t>
      </w:r>
      <w:r w:rsidRPr="004C5701">
        <w:rPr>
          <w:sz w:val="28"/>
          <w:szCs w:val="28"/>
        </w:rPr>
        <w:t xml:space="preserve"> meetings of </w:t>
      </w:r>
      <w:r w:rsidR="00DE7621" w:rsidRPr="004C5701">
        <w:rPr>
          <w:sz w:val="28"/>
          <w:szCs w:val="28"/>
        </w:rPr>
        <w:t>June 27 and</w:t>
      </w:r>
      <w:r w:rsidR="00DE7621">
        <w:rPr>
          <w:sz w:val="28"/>
          <w:szCs w:val="28"/>
        </w:rPr>
        <w:t xml:space="preserve"> October 11 did anticipate closed portions </w:t>
      </w:r>
      <w:r w:rsidR="00C345B6">
        <w:rPr>
          <w:sz w:val="28"/>
          <w:szCs w:val="28"/>
        </w:rPr>
        <w:t>within</w:t>
      </w:r>
      <w:r w:rsidR="00DE7621">
        <w:rPr>
          <w:sz w:val="28"/>
          <w:szCs w:val="28"/>
        </w:rPr>
        <w:t xml:space="preserve"> those </w:t>
      </w:r>
      <w:r w:rsidR="00C345B6">
        <w:rPr>
          <w:sz w:val="28"/>
          <w:szCs w:val="28"/>
        </w:rPr>
        <w:t xml:space="preserve">meetings. </w:t>
      </w:r>
      <w:r w:rsidR="00A106CD">
        <w:rPr>
          <w:sz w:val="28"/>
          <w:szCs w:val="28"/>
        </w:rPr>
        <w:t>The October 21 session was anticipated to be held as a closed session when public notice of the meeting was given</w:t>
      </w:r>
      <w:r w:rsidR="00E27224">
        <w:rPr>
          <w:sz w:val="28"/>
          <w:szCs w:val="28"/>
        </w:rPr>
        <w:t>.</w:t>
      </w:r>
    </w:p>
    <w:p w:rsidR="00FE3759" w:rsidRDefault="00FE3759" w:rsidP="005D5C99">
      <w:pPr>
        <w:rPr>
          <w:sz w:val="28"/>
          <w:szCs w:val="28"/>
        </w:rPr>
      </w:pPr>
    </w:p>
    <w:p w:rsidR="00FE3759" w:rsidRDefault="00FE3759" w:rsidP="005D5C99">
      <w:pPr>
        <w:rPr>
          <w:sz w:val="28"/>
          <w:szCs w:val="28"/>
        </w:rPr>
      </w:pPr>
    </w:p>
    <w:p w:rsidR="00FE3759" w:rsidRPr="0094032F" w:rsidRDefault="006259DB" w:rsidP="005D5C99">
      <w:pPr>
        <w:rPr>
          <w:b/>
          <w:sz w:val="28"/>
          <w:szCs w:val="28"/>
          <w:u w:val="single"/>
        </w:rPr>
      </w:pPr>
      <w:r w:rsidRPr="0094032F">
        <w:rPr>
          <w:b/>
          <w:sz w:val="28"/>
          <w:szCs w:val="28"/>
          <w:u w:val="single"/>
        </w:rPr>
        <w:t>Findings</w:t>
      </w:r>
    </w:p>
    <w:p w:rsidR="006259DB" w:rsidRDefault="006259DB" w:rsidP="005D5C99">
      <w:pPr>
        <w:rPr>
          <w:sz w:val="28"/>
          <w:szCs w:val="28"/>
        </w:rPr>
      </w:pPr>
    </w:p>
    <w:p w:rsidR="006259DB" w:rsidRDefault="000A453F" w:rsidP="005D5C99">
      <w:pPr>
        <w:rPr>
          <w:sz w:val="28"/>
          <w:szCs w:val="28"/>
        </w:rPr>
      </w:pPr>
      <w:r w:rsidRPr="00464318">
        <w:rPr>
          <w:b/>
          <w:sz w:val="28"/>
          <w:szCs w:val="28"/>
        </w:rPr>
        <w:t>1.</w:t>
      </w:r>
      <w:r>
        <w:rPr>
          <w:sz w:val="28"/>
          <w:szCs w:val="28"/>
        </w:rPr>
        <w:t xml:space="preserve"> </w:t>
      </w:r>
      <w:r w:rsidR="000F071C">
        <w:rPr>
          <w:sz w:val="28"/>
          <w:szCs w:val="28"/>
        </w:rPr>
        <w:t xml:space="preserve"> </w:t>
      </w:r>
      <w:r>
        <w:rPr>
          <w:sz w:val="28"/>
          <w:szCs w:val="28"/>
        </w:rPr>
        <w:t>At</w:t>
      </w:r>
      <w:r w:rsidR="006259DB">
        <w:rPr>
          <w:sz w:val="28"/>
          <w:szCs w:val="28"/>
        </w:rPr>
        <w:t xml:space="preserve"> the June </w:t>
      </w:r>
      <w:r w:rsidR="00C345B6">
        <w:rPr>
          <w:sz w:val="28"/>
          <w:szCs w:val="28"/>
        </w:rPr>
        <w:t>27,</w:t>
      </w:r>
      <w:r w:rsidR="006259DB">
        <w:rPr>
          <w:sz w:val="28"/>
          <w:szCs w:val="28"/>
        </w:rPr>
        <w:t xml:space="preserve"> 2011 meeting</w:t>
      </w:r>
      <w:r w:rsidR="008B1536">
        <w:rPr>
          <w:sz w:val="28"/>
          <w:szCs w:val="28"/>
        </w:rPr>
        <w:t xml:space="preserve"> </w:t>
      </w:r>
      <w:r w:rsidR="00275F05">
        <w:rPr>
          <w:sz w:val="28"/>
          <w:szCs w:val="28"/>
        </w:rPr>
        <w:t>Council passed the following resolution:</w:t>
      </w:r>
    </w:p>
    <w:p w:rsidR="00275F05" w:rsidRDefault="00275F05" w:rsidP="005D5C99">
      <w:pPr>
        <w:rPr>
          <w:sz w:val="28"/>
          <w:szCs w:val="28"/>
        </w:rPr>
      </w:pPr>
    </w:p>
    <w:p w:rsidR="00275F05" w:rsidRDefault="00275F05" w:rsidP="005D5C99">
      <w:pPr>
        <w:rPr>
          <w:sz w:val="28"/>
          <w:szCs w:val="28"/>
        </w:rPr>
      </w:pPr>
      <w:r>
        <w:rPr>
          <w:sz w:val="28"/>
          <w:szCs w:val="28"/>
        </w:rPr>
        <w:t>“That Council move into closed meeting pursuant to Section 239 of the Municipal Act 2001, as amended, at 3:42 pm for the following reasons:</w:t>
      </w:r>
    </w:p>
    <w:p w:rsidR="00275F05" w:rsidRDefault="00275F05" w:rsidP="005D5C99">
      <w:pPr>
        <w:rPr>
          <w:sz w:val="28"/>
          <w:szCs w:val="28"/>
        </w:rPr>
      </w:pPr>
      <w:r>
        <w:rPr>
          <w:sz w:val="28"/>
          <w:szCs w:val="28"/>
        </w:rPr>
        <w:t>Personal matters about an identifiable individual including municipal or local board members;</w:t>
      </w:r>
      <w:r w:rsidR="003C68C0">
        <w:rPr>
          <w:sz w:val="28"/>
          <w:szCs w:val="28"/>
        </w:rPr>
        <w:t xml:space="preserve"> </w:t>
      </w:r>
      <w:r>
        <w:rPr>
          <w:sz w:val="28"/>
          <w:szCs w:val="28"/>
        </w:rPr>
        <w:t xml:space="preserve">litigation or potential litigation including matters before administrative tribunals affecting the Municipality </w:t>
      </w:r>
      <w:r w:rsidR="000A453F">
        <w:rPr>
          <w:sz w:val="28"/>
          <w:szCs w:val="28"/>
        </w:rPr>
        <w:t>or local</w:t>
      </w:r>
      <w:r>
        <w:rPr>
          <w:sz w:val="28"/>
          <w:szCs w:val="28"/>
        </w:rPr>
        <w:t xml:space="preserve"> board</w:t>
      </w:r>
      <w:r w:rsidR="00234F2E">
        <w:rPr>
          <w:sz w:val="28"/>
          <w:szCs w:val="28"/>
        </w:rPr>
        <w:t>.</w:t>
      </w:r>
      <w:r w:rsidR="008B1536">
        <w:rPr>
          <w:sz w:val="28"/>
          <w:szCs w:val="28"/>
        </w:rPr>
        <w:t>”</w:t>
      </w:r>
    </w:p>
    <w:p w:rsidR="00234F2E" w:rsidRDefault="00234F2E" w:rsidP="005D5C99">
      <w:pPr>
        <w:rPr>
          <w:sz w:val="28"/>
          <w:szCs w:val="28"/>
        </w:rPr>
      </w:pPr>
    </w:p>
    <w:p w:rsidR="00234F2E" w:rsidRDefault="00234F2E" w:rsidP="005D5C99">
      <w:pPr>
        <w:rPr>
          <w:sz w:val="28"/>
          <w:szCs w:val="28"/>
        </w:rPr>
      </w:pPr>
      <w:r>
        <w:rPr>
          <w:sz w:val="28"/>
          <w:szCs w:val="28"/>
        </w:rPr>
        <w:t>Council reconvened a</w:t>
      </w:r>
      <w:r w:rsidR="00DD765E">
        <w:rPr>
          <w:sz w:val="28"/>
          <w:szCs w:val="28"/>
        </w:rPr>
        <w:t xml:space="preserve">t 4:10 pm and reported out with a resolution in open session to congratulate the CAO on his successful completion of his probationary period and to confirm his status as a </w:t>
      </w:r>
      <w:r w:rsidR="003C68C0">
        <w:rPr>
          <w:sz w:val="28"/>
          <w:szCs w:val="28"/>
        </w:rPr>
        <w:t>permanent employee. There was no reference to litigation matters in open session.</w:t>
      </w:r>
    </w:p>
    <w:p w:rsidR="000A453F" w:rsidRDefault="000A453F" w:rsidP="005D5C99">
      <w:pPr>
        <w:rPr>
          <w:sz w:val="28"/>
          <w:szCs w:val="28"/>
        </w:rPr>
      </w:pPr>
    </w:p>
    <w:p w:rsidR="000A453F" w:rsidRDefault="000A453F" w:rsidP="005D5C99">
      <w:pPr>
        <w:rPr>
          <w:sz w:val="28"/>
          <w:szCs w:val="28"/>
        </w:rPr>
      </w:pPr>
      <w:r>
        <w:rPr>
          <w:sz w:val="28"/>
          <w:szCs w:val="28"/>
        </w:rPr>
        <w:t>Amberley Gavel is of the opinion that the matters discussed were appropriate for a closed session in accordance with Section 239 of the Act.</w:t>
      </w:r>
    </w:p>
    <w:p w:rsidR="00275F05" w:rsidRDefault="00275F05" w:rsidP="005D5C99">
      <w:pPr>
        <w:rPr>
          <w:sz w:val="28"/>
          <w:szCs w:val="28"/>
        </w:rPr>
      </w:pPr>
    </w:p>
    <w:p w:rsidR="00FE3759" w:rsidRDefault="00BC67EF" w:rsidP="005D5C99">
      <w:pPr>
        <w:rPr>
          <w:sz w:val="28"/>
          <w:szCs w:val="28"/>
        </w:rPr>
      </w:pPr>
      <w:r>
        <w:rPr>
          <w:sz w:val="28"/>
          <w:szCs w:val="28"/>
        </w:rPr>
        <w:t>However</w:t>
      </w:r>
      <w:r w:rsidR="0025728E">
        <w:rPr>
          <w:sz w:val="28"/>
          <w:szCs w:val="28"/>
        </w:rPr>
        <w:t>, the Council did direct the CAO</w:t>
      </w:r>
      <w:r w:rsidR="00400E45">
        <w:rPr>
          <w:sz w:val="28"/>
          <w:szCs w:val="28"/>
        </w:rPr>
        <w:t xml:space="preserve"> in closed session</w:t>
      </w:r>
      <w:r w:rsidR="0025728E">
        <w:rPr>
          <w:sz w:val="28"/>
          <w:szCs w:val="28"/>
        </w:rPr>
        <w:t xml:space="preserve"> </w:t>
      </w:r>
      <w:r>
        <w:rPr>
          <w:sz w:val="28"/>
          <w:szCs w:val="28"/>
        </w:rPr>
        <w:t xml:space="preserve">to proceed with a charge pursuant to the Township zoning by-law as a result of the discussion on </w:t>
      </w:r>
      <w:r w:rsidR="00400E45">
        <w:rPr>
          <w:sz w:val="28"/>
          <w:szCs w:val="28"/>
        </w:rPr>
        <w:t>the</w:t>
      </w:r>
      <w:r>
        <w:rPr>
          <w:sz w:val="28"/>
          <w:szCs w:val="28"/>
        </w:rPr>
        <w:t xml:space="preserve"> potential litigation matter</w:t>
      </w:r>
      <w:r w:rsidR="001578E0">
        <w:rPr>
          <w:sz w:val="28"/>
          <w:szCs w:val="28"/>
        </w:rPr>
        <w:t xml:space="preserve"> in the closed session. It would have been reasonable for the Council to report at least the general nature of that direction out when the public session resumed since it would be a matter of public record </w:t>
      </w:r>
      <w:r w:rsidR="006172D6">
        <w:rPr>
          <w:sz w:val="28"/>
          <w:szCs w:val="28"/>
        </w:rPr>
        <w:t>when the charge was laid.</w:t>
      </w:r>
    </w:p>
    <w:p w:rsidR="006172D6" w:rsidRDefault="006172D6" w:rsidP="005D5C99">
      <w:pPr>
        <w:rPr>
          <w:sz w:val="28"/>
          <w:szCs w:val="28"/>
        </w:rPr>
      </w:pPr>
    </w:p>
    <w:p w:rsidR="006172D6" w:rsidRDefault="006172D6" w:rsidP="005D5C99">
      <w:pPr>
        <w:rPr>
          <w:sz w:val="28"/>
          <w:szCs w:val="28"/>
        </w:rPr>
      </w:pPr>
      <w:r>
        <w:rPr>
          <w:sz w:val="28"/>
          <w:szCs w:val="28"/>
        </w:rPr>
        <w:t>For example, the Mayor might have reported out following the resumption of the open portion of the meeting that “As authorized by the resolution preceding the closed session, Council discussed two matters related to specific municipal</w:t>
      </w:r>
      <w:r w:rsidR="00F249B2">
        <w:rPr>
          <w:sz w:val="28"/>
          <w:szCs w:val="28"/>
        </w:rPr>
        <w:t xml:space="preserve"> employees, about one of which we will be entertaining a motion shortly, and Council also directed staff to proceed with a charge with respect to a zoning by-law infraction.</w:t>
      </w:r>
      <w:r w:rsidR="00B77652">
        <w:rPr>
          <w:sz w:val="28"/>
          <w:szCs w:val="28"/>
        </w:rPr>
        <w:t>”</w:t>
      </w:r>
    </w:p>
    <w:p w:rsidR="00B77652" w:rsidRDefault="00B77652" w:rsidP="005D5C99">
      <w:pPr>
        <w:rPr>
          <w:sz w:val="28"/>
          <w:szCs w:val="28"/>
        </w:rPr>
      </w:pPr>
    </w:p>
    <w:p w:rsidR="00B77652" w:rsidRDefault="00C345B6" w:rsidP="005D5C99">
      <w:pPr>
        <w:rPr>
          <w:sz w:val="28"/>
          <w:szCs w:val="28"/>
        </w:rPr>
      </w:pPr>
      <w:r>
        <w:rPr>
          <w:sz w:val="28"/>
          <w:szCs w:val="28"/>
        </w:rPr>
        <w:t xml:space="preserve">In light of what </w:t>
      </w:r>
      <w:r w:rsidR="0094032F">
        <w:rPr>
          <w:sz w:val="28"/>
          <w:szCs w:val="28"/>
        </w:rPr>
        <w:t>was intended to be discussed</w:t>
      </w:r>
      <w:r>
        <w:rPr>
          <w:sz w:val="28"/>
          <w:szCs w:val="28"/>
        </w:rPr>
        <w:t xml:space="preserve"> during the closed meeting, the authorizing resolution could properly have been expanded to refer to “litigation, more specifically a zoning by-law enforcement issue.”</w:t>
      </w:r>
    </w:p>
    <w:p w:rsidR="00182704" w:rsidRDefault="00182704" w:rsidP="005D5C99">
      <w:pPr>
        <w:rPr>
          <w:sz w:val="28"/>
          <w:szCs w:val="28"/>
        </w:rPr>
      </w:pPr>
    </w:p>
    <w:p w:rsidR="00182704" w:rsidRDefault="00BF26CA" w:rsidP="005D5C99">
      <w:pPr>
        <w:rPr>
          <w:sz w:val="28"/>
          <w:szCs w:val="28"/>
        </w:rPr>
      </w:pPr>
      <w:r w:rsidRPr="00464318">
        <w:rPr>
          <w:b/>
          <w:sz w:val="28"/>
          <w:szCs w:val="28"/>
        </w:rPr>
        <w:t>2.</w:t>
      </w:r>
      <w:r>
        <w:rPr>
          <w:sz w:val="28"/>
          <w:szCs w:val="28"/>
        </w:rPr>
        <w:t xml:space="preserve"> </w:t>
      </w:r>
      <w:r w:rsidR="000F071C">
        <w:rPr>
          <w:sz w:val="28"/>
          <w:szCs w:val="28"/>
        </w:rPr>
        <w:t xml:space="preserve"> </w:t>
      </w:r>
      <w:r>
        <w:rPr>
          <w:sz w:val="28"/>
          <w:szCs w:val="28"/>
        </w:rPr>
        <w:t>At the October</w:t>
      </w:r>
      <w:r w:rsidR="00FE7AC6">
        <w:rPr>
          <w:sz w:val="28"/>
          <w:szCs w:val="28"/>
        </w:rPr>
        <w:t xml:space="preserve"> 11 and 21</w:t>
      </w:r>
      <w:r w:rsidR="000F071C">
        <w:rPr>
          <w:sz w:val="28"/>
          <w:szCs w:val="28"/>
        </w:rPr>
        <w:t xml:space="preserve"> </w:t>
      </w:r>
      <w:r w:rsidR="00FE7AC6">
        <w:rPr>
          <w:sz w:val="28"/>
          <w:szCs w:val="28"/>
        </w:rPr>
        <w:t>meetings</w:t>
      </w:r>
      <w:r>
        <w:rPr>
          <w:sz w:val="28"/>
          <w:szCs w:val="28"/>
        </w:rPr>
        <w:t xml:space="preserve"> Council passed appropriate resolutions</w:t>
      </w:r>
      <w:r w:rsidR="00FE7AC6">
        <w:rPr>
          <w:sz w:val="28"/>
          <w:szCs w:val="28"/>
        </w:rPr>
        <w:t xml:space="preserve"> authorizing the closed sessions. The topics</w:t>
      </w:r>
      <w:r w:rsidR="002413D9">
        <w:rPr>
          <w:sz w:val="28"/>
          <w:szCs w:val="28"/>
        </w:rPr>
        <w:t xml:space="preserve"> discussed in closed session</w:t>
      </w:r>
      <w:r w:rsidR="00FE7AC6">
        <w:rPr>
          <w:sz w:val="28"/>
          <w:szCs w:val="28"/>
        </w:rPr>
        <w:t xml:space="preserve"> were </w:t>
      </w:r>
      <w:r w:rsidR="002413D9">
        <w:rPr>
          <w:sz w:val="28"/>
          <w:szCs w:val="28"/>
        </w:rPr>
        <w:t>limited to those matters</w:t>
      </w:r>
      <w:r w:rsidR="0094032F">
        <w:rPr>
          <w:sz w:val="28"/>
          <w:szCs w:val="28"/>
        </w:rPr>
        <w:t xml:space="preserve"> contemplated by the resolutions</w:t>
      </w:r>
      <w:r w:rsidR="002413D9">
        <w:rPr>
          <w:sz w:val="28"/>
          <w:szCs w:val="28"/>
        </w:rPr>
        <w:t xml:space="preserve">. Parts </w:t>
      </w:r>
      <w:r w:rsidR="002413D9">
        <w:rPr>
          <w:sz w:val="28"/>
          <w:szCs w:val="28"/>
        </w:rPr>
        <w:lastRenderedPageBreak/>
        <w:t>of those discussions might have been held in public session but</w:t>
      </w:r>
      <w:r w:rsidR="00DB2C96">
        <w:rPr>
          <w:sz w:val="28"/>
          <w:szCs w:val="28"/>
        </w:rPr>
        <w:t xml:space="preserve"> also</w:t>
      </w:r>
      <w:r w:rsidR="002413D9">
        <w:rPr>
          <w:sz w:val="28"/>
          <w:szCs w:val="28"/>
        </w:rPr>
        <w:t xml:space="preserve"> might have added to public confusion as well as transparency as </w:t>
      </w:r>
      <w:r w:rsidR="000A5F8C">
        <w:rPr>
          <w:sz w:val="28"/>
          <w:szCs w:val="28"/>
        </w:rPr>
        <w:t>they would have been out of context for the most part.</w:t>
      </w:r>
    </w:p>
    <w:p w:rsidR="000A5F8C" w:rsidRDefault="000A5F8C" w:rsidP="005D5C99">
      <w:pPr>
        <w:rPr>
          <w:sz w:val="28"/>
          <w:szCs w:val="28"/>
        </w:rPr>
      </w:pPr>
    </w:p>
    <w:p w:rsidR="0036561A" w:rsidRDefault="000A5F8C" w:rsidP="005D5C99">
      <w:pPr>
        <w:rPr>
          <w:sz w:val="28"/>
          <w:szCs w:val="28"/>
        </w:rPr>
      </w:pPr>
      <w:r>
        <w:rPr>
          <w:sz w:val="28"/>
          <w:szCs w:val="28"/>
        </w:rPr>
        <w:t>The resolutions authorizing those closed sessions could have been more fulsome with respect to the general nature of the matters to be discussed</w:t>
      </w:r>
      <w:r w:rsidR="00064867">
        <w:rPr>
          <w:sz w:val="28"/>
          <w:szCs w:val="28"/>
        </w:rPr>
        <w:t>,</w:t>
      </w:r>
      <w:r w:rsidR="00EF45F6">
        <w:rPr>
          <w:sz w:val="28"/>
          <w:szCs w:val="28"/>
        </w:rPr>
        <w:t xml:space="preserve"> for instance</w:t>
      </w:r>
      <w:r w:rsidR="00064867">
        <w:rPr>
          <w:sz w:val="28"/>
          <w:szCs w:val="28"/>
        </w:rPr>
        <w:t xml:space="preserve">, not just citing “advice subject to solicitor client privilege”, but “advice subject to solicitor </w:t>
      </w:r>
      <w:r w:rsidR="00B43FAF">
        <w:rPr>
          <w:sz w:val="28"/>
          <w:szCs w:val="28"/>
        </w:rPr>
        <w:t>client privilege, more specifically regarding what falls under the purview of litigation”</w:t>
      </w:r>
      <w:r w:rsidR="00DB2C96">
        <w:rPr>
          <w:sz w:val="28"/>
          <w:szCs w:val="28"/>
        </w:rPr>
        <w:t>.</w:t>
      </w:r>
    </w:p>
    <w:p w:rsidR="00D042D4" w:rsidRDefault="00D042D4" w:rsidP="005D5C99">
      <w:pPr>
        <w:rPr>
          <w:sz w:val="28"/>
          <w:szCs w:val="28"/>
        </w:rPr>
      </w:pPr>
    </w:p>
    <w:p w:rsidR="00D042D4" w:rsidRDefault="00D042D4" w:rsidP="005D5C99">
      <w:pPr>
        <w:rPr>
          <w:sz w:val="28"/>
          <w:szCs w:val="28"/>
        </w:rPr>
      </w:pPr>
      <w:r w:rsidRPr="000F071C">
        <w:rPr>
          <w:b/>
          <w:sz w:val="28"/>
          <w:szCs w:val="28"/>
        </w:rPr>
        <w:t>3.</w:t>
      </w:r>
      <w:r w:rsidR="00DF0BC1">
        <w:rPr>
          <w:sz w:val="28"/>
          <w:szCs w:val="28"/>
        </w:rPr>
        <w:t xml:space="preserve"> </w:t>
      </w:r>
      <w:r w:rsidR="000F071C">
        <w:rPr>
          <w:sz w:val="28"/>
          <w:szCs w:val="28"/>
        </w:rPr>
        <w:t xml:space="preserve"> </w:t>
      </w:r>
      <w:r w:rsidR="00C345B6">
        <w:rPr>
          <w:sz w:val="28"/>
          <w:szCs w:val="28"/>
        </w:rPr>
        <w:t>From discussions</w:t>
      </w:r>
      <w:r>
        <w:rPr>
          <w:sz w:val="28"/>
          <w:szCs w:val="28"/>
        </w:rPr>
        <w:t xml:space="preserve"> with the Municipal Clerk it was learned that</w:t>
      </w:r>
      <w:r w:rsidR="00BE0EA0">
        <w:rPr>
          <w:sz w:val="28"/>
          <w:szCs w:val="28"/>
        </w:rPr>
        <w:t xml:space="preserve"> there are</w:t>
      </w:r>
      <w:r w:rsidR="00BF57F1">
        <w:rPr>
          <w:sz w:val="28"/>
          <w:szCs w:val="28"/>
        </w:rPr>
        <w:t xml:space="preserve"> instances of resolutions that authorize closed sessions that do disclose more than the </w:t>
      </w:r>
      <w:r w:rsidR="00BE0EA0">
        <w:rPr>
          <w:sz w:val="28"/>
          <w:szCs w:val="28"/>
        </w:rPr>
        <w:t>minimum requirements of the Act</w:t>
      </w:r>
      <w:r w:rsidR="00DF0BC1">
        <w:rPr>
          <w:sz w:val="28"/>
          <w:szCs w:val="28"/>
        </w:rPr>
        <w:t>, both before the meetings subject to this report and since.</w:t>
      </w:r>
    </w:p>
    <w:p w:rsidR="00DF0BC1" w:rsidRPr="0094032F" w:rsidRDefault="00DF0BC1" w:rsidP="005D5C99">
      <w:pPr>
        <w:rPr>
          <w:b/>
          <w:sz w:val="28"/>
          <w:szCs w:val="28"/>
          <w:u w:val="single"/>
        </w:rPr>
      </w:pPr>
    </w:p>
    <w:p w:rsidR="00DF0BC1" w:rsidRPr="0094032F" w:rsidRDefault="00C433D7" w:rsidP="005D5C99">
      <w:pPr>
        <w:rPr>
          <w:b/>
          <w:sz w:val="28"/>
          <w:szCs w:val="28"/>
          <w:u w:val="single"/>
        </w:rPr>
      </w:pPr>
      <w:r w:rsidRPr="0094032F">
        <w:rPr>
          <w:b/>
          <w:sz w:val="28"/>
          <w:szCs w:val="28"/>
          <w:u w:val="single"/>
        </w:rPr>
        <w:t>Conclusions and Recommendations</w:t>
      </w:r>
    </w:p>
    <w:p w:rsidR="00C433D7" w:rsidRDefault="00C433D7" w:rsidP="005D5C99">
      <w:pPr>
        <w:rPr>
          <w:sz w:val="28"/>
          <w:szCs w:val="28"/>
        </w:rPr>
      </w:pPr>
    </w:p>
    <w:p w:rsidR="00F94C44" w:rsidRDefault="00F94C44" w:rsidP="005D5C99">
      <w:pPr>
        <w:rPr>
          <w:sz w:val="28"/>
          <w:szCs w:val="28"/>
        </w:rPr>
      </w:pPr>
      <w:r>
        <w:rPr>
          <w:sz w:val="28"/>
          <w:szCs w:val="28"/>
        </w:rPr>
        <w:t xml:space="preserve">Municipalities have an obligation to conduct their business in a transparent manner, and </w:t>
      </w:r>
      <w:r w:rsidR="00097535">
        <w:rPr>
          <w:sz w:val="28"/>
          <w:szCs w:val="28"/>
        </w:rPr>
        <w:t>this includes</w:t>
      </w:r>
      <w:r w:rsidR="00BC7A5A">
        <w:rPr>
          <w:sz w:val="28"/>
          <w:szCs w:val="28"/>
        </w:rPr>
        <w:t>,</w:t>
      </w:r>
      <w:r w:rsidR="00614871">
        <w:rPr>
          <w:sz w:val="28"/>
          <w:szCs w:val="28"/>
        </w:rPr>
        <w:t xml:space="preserve"> </w:t>
      </w:r>
      <w:r w:rsidR="00097535">
        <w:rPr>
          <w:sz w:val="28"/>
          <w:szCs w:val="28"/>
        </w:rPr>
        <w:t xml:space="preserve">when the public is to be </w:t>
      </w:r>
      <w:r w:rsidR="00086142">
        <w:rPr>
          <w:sz w:val="28"/>
          <w:szCs w:val="28"/>
        </w:rPr>
        <w:t>ex</w:t>
      </w:r>
      <w:r w:rsidR="00097535">
        <w:rPr>
          <w:sz w:val="28"/>
          <w:szCs w:val="28"/>
        </w:rPr>
        <w:t>cluded from council deliberations</w:t>
      </w:r>
      <w:r w:rsidR="00BC7A5A">
        <w:rPr>
          <w:sz w:val="28"/>
          <w:szCs w:val="28"/>
        </w:rPr>
        <w:t xml:space="preserve">, </w:t>
      </w:r>
      <w:r w:rsidR="002761FA">
        <w:rPr>
          <w:sz w:val="28"/>
          <w:szCs w:val="28"/>
        </w:rPr>
        <w:t>citing</w:t>
      </w:r>
      <w:r w:rsidR="00BC7A5A">
        <w:rPr>
          <w:sz w:val="28"/>
          <w:szCs w:val="28"/>
        </w:rPr>
        <w:t xml:space="preserve"> not only the specific </w:t>
      </w:r>
      <w:r w:rsidR="00AC2490">
        <w:rPr>
          <w:sz w:val="28"/>
          <w:szCs w:val="28"/>
        </w:rPr>
        <w:t>sub</w:t>
      </w:r>
      <w:r w:rsidR="00BC7A5A">
        <w:rPr>
          <w:sz w:val="28"/>
          <w:szCs w:val="28"/>
        </w:rPr>
        <w:t>section(s) of the Act</w:t>
      </w:r>
      <w:r w:rsidR="00086142">
        <w:rPr>
          <w:sz w:val="28"/>
          <w:szCs w:val="28"/>
        </w:rPr>
        <w:t xml:space="preserve"> authorizing </w:t>
      </w:r>
      <w:r w:rsidR="00915E67">
        <w:rPr>
          <w:sz w:val="28"/>
          <w:szCs w:val="28"/>
        </w:rPr>
        <w:t xml:space="preserve">the closed session, but also some greater specificity about the matter to be discussed as long </w:t>
      </w:r>
      <w:r w:rsidR="00573A6B">
        <w:rPr>
          <w:sz w:val="28"/>
          <w:szCs w:val="28"/>
        </w:rPr>
        <w:t xml:space="preserve">as in doing so </w:t>
      </w:r>
      <w:r w:rsidR="00915E67">
        <w:rPr>
          <w:sz w:val="28"/>
          <w:szCs w:val="28"/>
        </w:rPr>
        <w:t xml:space="preserve">it does not </w:t>
      </w:r>
      <w:r w:rsidR="000B562B">
        <w:rPr>
          <w:sz w:val="28"/>
          <w:szCs w:val="28"/>
        </w:rPr>
        <w:t xml:space="preserve">impair the interests of the municipality or </w:t>
      </w:r>
      <w:r w:rsidR="00573A6B">
        <w:rPr>
          <w:sz w:val="28"/>
          <w:szCs w:val="28"/>
        </w:rPr>
        <w:t xml:space="preserve">of </w:t>
      </w:r>
      <w:r w:rsidR="000B562B">
        <w:rPr>
          <w:sz w:val="28"/>
          <w:szCs w:val="28"/>
        </w:rPr>
        <w:t>the individuals involved</w:t>
      </w:r>
      <w:r w:rsidR="00573A6B">
        <w:rPr>
          <w:sz w:val="28"/>
          <w:szCs w:val="28"/>
        </w:rPr>
        <w:t>.</w:t>
      </w:r>
      <w:r w:rsidR="00097535">
        <w:rPr>
          <w:sz w:val="28"/>
          <w:szCs w:val="28"/>
        </w:rPr>
        <w:t xml:space="preserve"> </w:t>
      </w:r>
    </w:p>
    <w:p w:rsidR="002761FA" w:rsidRDefault="002761FA" w:rsidP="005D5C99">
      <w:pPr>
        <w:rPr>
          <w:sz w:val="28"/>
          <w:szCs w:val="28"/>
        </w:rPr>
      </w:pPr>
    </w:p>
    <w:p w:rsidR="002761FA" w:rsidRDefault="002761FA" w:rsidP="005D5C99">
      <w:pPr>
        <w:rPr>
          <w:sz w:val="28"/>
          <w:szCs w:val="28"/>
        </w:rPr>
      </w:pPr>
      <w:r>
        <w:rPr>
          <w:sz w:val="28"/>
          <w:szCs w:val="28"/>
        </w:rPr>
        <w:t xml:space="preserve">There are situations where </w:t>
      </w:r>
      <w:r w:rsidR="00AC2490">
        <w:rPr>
          <w:sz w:val="28"/>
          <w:szCs w:val="28"/>
        </w:rPr>
        <w:t>greater detail than what the Act requires is not appropriate or</w:t>
      </w:r>
      <w:r w:rsidR="00573A6B">
        <w:rPr>
          <w:sz w:val="28"/>
          <w:szCs w:val="28"/>
        </w:rPr>
        <w:t xml:space="preserve"> the consequences of </w:t>
      </w:r>
      <w:r w:rsidR="000F284E">
        <w:rPr>
          <w:sz w:val="28"/>
          <w:szCs w:val="28"/>
        </w:rPr>
        <w:t xml:space="preserve">its disclosure is </w:t>
      </w:r>
      <w:r w:rsidR="00AC2490">
        <w:rPr>
          <w:sz w:val="28"/>
          <w:szCs w:val="28"/>
        </w:rPr>
        <w:t xml:space="preserve">not clear to members of Council when considering the motion to </w:t>
      </w:r>
      <w:r w:rsidR="000729A4">
        <w:rPr>
          <w:sz w:val="28"/>
          <w:szCs w:val="28"/>
        </w:rPr>
        <w:t>go into closed session.</w:t>
      </w:r>
    </w:p>
    <w:p w:rsidR="000F284E" w:rsidRDefault="000F284E" w:rsidP="005D5C99">
      <w:pPr>
        <w:rPr>
          <w:sz w:val="28"/>
          <w:szCs w:val="28"/>
        </w:rPr>
      </w:pPr>
    </w:p>
    <w:p w:rsidR="000F284E" w:rsidRDefault="000F284E" w:rsidP="005D5C99">
      <w:pPr>
        <w:rPr>
          <w:sz w:val="28"/>
          <w:szCs w:val="28"/>
        </w:rPr>
      </w:pPr>
      <w:r>
        <w:rPr>
          <w:sz w:val="28"/>
          <w:szCs w:val="28"/>
        </w:rPr>
        <w:t>In those</w:t>
      </w:r>
      <w:r w:rsidR="00496679">
        <w:rPr>
          <w:sz w:val="28"/>
          <w:szCs w:val="28"/>
        </w:rPr>
        <w:t xml:space="preserve"> latter</w:t>
      </w:r>
      <w:r>
        <w:rPr>
          <w:sz w:val="28"/>
          <w:szCs w:val="28"/>
        </w:rPr>
        <w:t xml:space="preserve"> circumstances, to </w:t>
      </w:r>
      <w:r w:rsidR="00E24293">
        <w:rPr>
          <w:sz w:val="28"/>
          <w:szCs w:val="28"/>
        </w:rPr>
        <w:t>attempt to be as transparent as possible, a Council c</w:t>
      </w:r>
      <w:r w:rsidR="0039412A">
        <w:rPr>
          <w:sz w:val="28"/>
          <w:szCs w:val="28"/>
        </w:rPr>
        <w:t>ould</w:t>
      </w:r>
      <w:r w:rsidR="00E24293">
        <w:rPr>
          <w:sz w:val="28"/>
          <w:szCs w:val="28"/>
        </w:rPr>
        <w:t xml:space="preserve"> consider</w:t>
      </w:r>
      <w:r w:rsidR="0039412A">
        <w:rPr>
          <w:sz w:val="28"/>
          <w:szCs w:val="28"/>
        </w:rPr>
        <w:t xml:space="preserve"> at the end of its closed session</w:t>
      </w:r>
      <w:r w:rsidR="00E24293">
        <w:rPr>
          <w:sz w:val="28"/>
          <w:szCs w:val="28"/>
        </w:rPr>
        <w:t xml:space="preserve"> what components of its closed session can actually be reported out</w:t>
      </w:r>
      <w:r w:rsidR="00496679">
        <w:rPr>
          <w:sz w:val="28"/>
          <w:szCs w:val="28"/>
        </w:rPr>
        <w:t xml:space="preserve"> at that time</w:t>
      </w:r>
      <w:r w:rsidR="002B64F3">
        <w:rPr>
          <w:sz w:val="28"/>
          <w:szCs w:val="28"/>
        </w:rPr>
        <w:t xml:space="preserve"> and formalize that with a resolution providing appropriate direction to do so. </w:t>
      </w:r>
    </w:p>
    <w:p w:rsidR="00496679" w:rsidRDefault="00496679" w:rsidP="005D5C99">
      <w:pPr>
        <w:rPr>
          <w:sz w:val="28"/>
          <w:szCs w:val="28"/>
        </w:rPr>
      </w:pPr>
    </w:p>
    <w:p w:rsidR="00496679" w:rsidRDefault="00363EA6" w:rsidP="005D5C99">
      <w:pPr>
        <w:rPr>
          <w:sz w:val="28"/>
          <w:szCs w:val="28"/>
        </w:rPr>
      </w:pPr>
      <w:r>
        <w:rPr>
          <w:sz w:val="28"/>
          <w:szCs w:val="28"/>
        </w:rPr>
        <w:t xml:space="preserve">With respect to this complaint and the Municipality of Northern Bruce Peninsula, it </w:t>
      </w:r>
      <w:r w:rsidR="00927E2B">
        <w:rPr>
          <w:sz w:val="28"/>
          <w:szCs w:val="28"/>
        </w:rPr>
        <w:t>is our finding that the Municipality met the minimum requirements of the Act with respect to the closed sessions subject to the complaint.</w:t>
      </w:r>
    </w:p>
    <w:p w:rsidR="00927E2B" w:rsidRDefault="00927E2B" w:rsidP="005D5C99">
      <w:pPr>
        <w:rPr>
          <w:sz w:val="28"/>
          <w:szCs w:val="28"/>
        </w:rPr>
      </w:pPr>
    </w:p>
    <w:p w:rsidR="00927E2B" w:rsidRDefault="00927E2B" w:rsidP="005D5C99">
      <w:pPr>
        <w:rPr>
          <w:sz w:val="28"/>
          <w:szCs w:val="28"/>
        </w:rPr>
      </w:pPr>
      <w:r>
        <w:rPr>
          <w:sz w:val="28"/>
          <w:szCs w:val="28"/>
        </w:rPr>
        <w:t xml:space="preserve">However, </w:t>
      </w:r>
      <w:r w:rsidR="00D71D59">
        <w:rPr>
          <w:sz w:val="28"/>
          <w:szCs w:val="28"/>
        </w:rPr>
        <w:t xml:space="preserve">it is our recommendation that </w:t>
      </w:r>
      <w:r>
        <w:rPr>
          <w:sz w:val="28"/>
          <w:szCs w:val="28"/>
        </w:rPr>
        <w:t xml:space="preserve">best practice would have involved greater disclosure in both </w:t>
      </w:r>
      <w:r w:rsidR="00D71D59">
        <w:rPr>
          <w:sz w:val="28"/>
          <w:szCs w:val="28"/>
        </w:rPr>
        <w:t xml:space="preserve">authorizing resolutions and in reporting out to the </w:t>
      </w:r>
      <w:r w:rsidR="00D71D59">
        <w:rPr>
          <w:sz w:val="28"/>
          <w:szCs w:val="28"/>
        </w:rPr>
        <w:lastRenderedPageBreak/>
        <w:t>public after those closed sessions.</w:t>
      </w:r>
      <w:r w:rsidR="00B7596D">
        <w:rPr>
          <w:sz w:val="28"/>
          <w:szCs w:val="28"/>
        </w:rPr>
        <w:t xml:space="preserve"> We understand this to </w:t>
      </w:r>
      <w:r w:rsidR="00573A6B">
        <w:rPr>
          <w:sz w:val="28"/>
          <w:szCs w:val="28"/>
        </w:rPr>
        <w:t xml:space="preserve">already </w:t>
      </w:r>
      <w:r w:rsidR="00B7596D">
        <w:rPr>
          <w:sz w:val="28"/>
          <w:szCs w:val="28"/>
        </w:rPr>
        <w:t xml:space="preserve">be </w:t>
      </w:r>
      <w:r w:rsidR="00573A6B">
        <w:rPr>
          <w:sz w:val="28"/>
          <w:szCs w:val="28"/>
        </w:rPr>
        <w:t xml:space="preserve">the </w:t>
      </w:r>
      <w:r w:rsidR="00B7596D">
        <w:rPr>
          <w:sz w:val="28"/>
          <w:szCs w:val="28"/>
        </w:rPr>
        <w:t>mor</w:t>
      </w:r>
      <w:r w:rsidR="00464318">
        <w:rPr>
          <w:sz w:val="28"/>
          <w:szCs w:val="28"/>
        </w:rPr>
        <w:t>e</w:t>
      </w:r>
      <w:r w:rsidR="00B7596D">
        <w:rPr>
          <w:sz w:val="28"/>
          <w:szCs w:val="28"/>
        </w:rPr>
        <w:t xml:space="preserve"> common practice for the municipality</w:t>
      </w:r>
      <w:r w:rsidR="000F071C">
        <w:rPr>
          <w:sz w:val="28"/>
          <w:szCs w:val="28"/>
        </w:rPr>
        <w:t xml:space="preserve"> with respect to authorizing resolutions</w:t>
      </w:r>
      <w:r w:rsidR="00B7596D">
        <w:rPr>
          <w:sz w:val="28"/>
          <w:szCs w:val="28"/>
        </w:rPr>
        <w:t>.</w:t>
      </w:r>
    </w:p>
    <w:p w:rsidR="00B7596D" w:rsidRDefault="00B7596D" w:rsidP="005D5C99">
      <w:pPr>
        <w:rPr>
          <w:sz w:val="28"/>
          <w:szCs w:val="28"/>
        </w:rPr>
      </w:pPr>
    </w:p>
    <w:p w:rsidR="00D71D59" w:rsidRDefault="00B7596D" w:rsidP="005D5C99">
      <w:pPr>
        <w:rPr>
          <w:sz w:val="28"/>
          <w:szCs w:val="28"/>
        </w:rPr>
      </w:pPr>
      <w:r>
        <w:rPr>
          <w:sz w:val="28"/>
          <w:szCs w:val="28"/>
        </w:rPr>
        <w:t>Cou</w:t>
      </w:r>
      <w:r w:rsidR="007D1448">
        <w:rPr>
          <w:sz w:val="28"/>
          <w:szCs w:val="28"/>
        </w:rPr>
        <w:t>ncillors</w:t>
      </w:r>
      <w:r w:rsidR="009E6B72">
        <w:rPr>
          <w:sz w:val="28"/>
          <w:szCs w:val="28"/>
        </w:rPr>
        <w:t xml:space="preserve"> and staff</w:t>
      </w:r>
      <w:r w:rsidR="007D1448">
        <w:rPr>
          <w:sz w:val="28"/>
          <w:szCs w:val="28"/>
        </w:rPr>
        <w:t xml:space="preserve"> are advised to regularly ask themselves when considering a closed session</w:t>
      </w:r>
      <w:r w:rsidR="00DF291A">
        <w:rPr>
          <w:sz w:val="28"/>
          <w:szCs w:val="28"/>
        </w:rPr>
        <w:t xml:space="preserve"> pursuant to the Act</w:t>
      </w:r>
      <w:r w:rsidR="007D1448">
        <w:rPr>
          <w:sz w:val="28"/>
          <w:szCs w:val="28"/>
        </w:rPr>
        <w:t>, and when reporting out, in order to be as transparent as possible and maintain public confidence</w:t>
      </w:r>
      <w:r w:rsidR="00206167">
        <w:rPr>
          <w:sz w:val="28"/>
          <w:szCs w:val="28"/>
        </w:rPr>
        <w:t xml:space="preserve"> at a high level</w:t>
      </w:r>
      <w:r w:rsidR="00574CE8">
        <w:rPr>
          <w:sz w:val="28"/>
          <w:szCs w:val="28"/>
        </w:rPr>
        <w:t xml:space="preserve">: </w:t>
      </w:r>
      <w:r w:rsidR="009E6B72">
        <w:rPr>
          <w:sz w:val="28"/>
          <w:szCs w:val="28"/>
        </w:rPr>
        <w:t>“H</w:t>
      </w:r>
      <w:r w:rsidR="00206167">
        <w:rPr>
          <w:sz w:val="28"/>
          <w:szCs w:val="28"/>
        </w:rPr>
        <w:t xml:space="preserve">ow much of the issue(s) at hand can </w:t>
      </w:r>
      <w:r w:rsidR="000F071C">
        <w:rPr>
          <w:sz w:val="28"/>
          <w:szCs w:val="28"/>
        </w:rPr>
        <w:t>be</w:t>
      </w:r>
      <w:r w:rsidR="00206167">
        <w:rPr>
          <w:sz w:val="28"/>
          <w:szCs w:val="28"/>
        </w:rPr>
        <w:t xml:space="preserve"> </w:t>
      </w:r>
      <w:r w:rsidR="00890723">
        <w:rPr>
          <w:sz w:val="28"/>
          <w:szCs w:val="28"/>
        </w:rPr>
        <w:t>disclose</w:t>
      </w:r>
      <w:r w:rsidR="000F071C">
        <w:rPr>
          <w:sz w:val="28"/>
          <w:szCs w:val="28"/>
        </w:rPr>
        <w:t>d</w:t>
      </w:r>
      <w:r w:rsidR="00890723">
        <w:rPr>
          <w:sz w:val="28"/>
          <w:szCs w:val="28"/>
        </w:rPr>
        <w:t xml:space="preserve"> </w:t>
      </w:r>
      <w:r w:rsidR="00B908EB">
        <w:rPr>
          <w:sz w:val="28"/>
          <w:szCs w:val="28"/>
        </w:rPr>
        <w:t>without impairing</w:t>
      </w:r>
      <w:r w:rsidR="00206167">
        <w:rPr>
          <w:sz w:val="28"/>
          <w:szCs w:val="28"/>
        </w:rPr>
        <w:t xml:space="preserve"> </w:t>
      </w:r>
      <w:r w:rsidR="009E6B72">
        <w:rPr>
          <w:sz w:val="28"/>
          <w:szCs w:val="28"/>
        </w:rPr>
        <w:t>t</w:t>
      </w:r>
      <w:r w:rsidR="00206167">
        <w:rPr>
          <w:sz w:val="28"/>
          <w:szCs w:val="28"/>
        </w:rPr>
        <w:t>he interests of the parties involved</w:t>
      </w:r>
      <w:r w:rsidR="000F071C">
        <w:rPr>
          <w:sz w:val="28"/>
          <w:szCs w:val="28"/>
        </w:rPr>
        <w:t xml:space="preserve"> and how can that disclosure be best achieved</w:t>
      </w:r>
      <w:r w:rsidR="009E6B72">
        <w:rPr>
          <w:sz w:val="28"/>
          <w:szCs w:val="28"/>
        </w:rPr>
        <w:t>?”</w:t>
      </w:r>
    </w:p>
    <w:p w:rsidR="00DF291A" w:rsidRDefault="00DF291A" w:rsidP="005D5C99">
      <w:pPr>
        <w:rPr>
          <w:sz w:val="28"/>
          <w:szCs w:val="28"/>
        </w:rPr>
      </w:pPr>
    </w:p>
    <w:p w:rsidR="00B908EB" w:rsidRDefault="00DF291A" w:rsidP="005D5C99">
      <w:pPr>
        <w:rPr>
          <w:sz w:val="28"/>
          <w:szCs w:val="28"/>
        </w:rPr>
      </w:pPr>
      <w:r>
        <w:rPr>
          <w:sz w:val="28"/>
          <w:szCs w:val="28"/>
        </w:rPr>
        <w:t>We wish to thank</w:t>
      </w:r>
      <w:r w:rsidR="00B908EB">
        <w:rPr>
          <w:sz w:val="28"/>
          <w:szCs w:val="28"/>
        </w:rPr>
        <w:t xml:space="preserve"> the Clerk for her cooperation in providing us with appropriate records and to all of those that we interviewed for their</w:t>
      </w:r>
      <w:r w:rsidR="00464318">
        <w:rPr>
          <w:sz w:val="28"/>
          <w:szCs w:val="28"/>
        </w:rPr>
        <w:t xml:space="preserve"> complete cooperation</w:t>
      </w:r>
      <w:r w:rsidR="00B908EB">
        <w:rPr>
          <w:sz w:val="28"/>
          <w:szCs w:val="28"/>
        </w:rPr>
        <w:t xml:space="preserve"> as well.</w:t>
      </w:r>
    </w:p>
    <w:p w:rsidR="00B908EB" w:rsidRDefault="00B908EB" w:rsidP="005D5C99">
      <w:pPr>
        <w:rPr>
          <w:sz w:val="28"/>
          <w:szCs w:val="28"/>
        </w:rPr>
      </w:pPr>
    </w:p>
    <w:p w:rsidR="00B908EB" w:rsidRDefault="00B908EB" w:rsidP="005D5C99">
      <w:pPr>
        <w:rPr>
          <w:sz w:val="28"/>
          <w:szCs w:val="28"/>
        </w:rPr>
      </w:pPr>
      <w:r>
        <w:rPr>
          <w:sz w:val="28"/>
          <w:szCs w:val="28"/>
        </w:rPr>
        <w:t>We recommend that this report be placed on the agenda of the next public meeting of the Council.</w:t>
      </w:r>
    </w:p>
    <w:p w:rsidR="00B908EB" w:rsidRDefault="00B908EB" w:rsidP="005D5C99">
      <w:pPr>
        <w:rPr>
          <w:sz w:val="28"/>
          <w:szCs w:val="28"/>
        </w:rPr>
      </w:pPr>
    </w:p>
    <w:p w:rsidR="00B908EB" w:rsidRDefault="00B908EB" w:rsidP="005D5C99">
      <w:pPr>
        <w:rPr>
          <w:sz w:val="28"/>
          <w:szCs w:val="28"/>
        </w:rPr>
      </w:pPr>
    </w:p>
    <w:p w:rsidR="00B908EB" w:rsidRDefault="00B908EB" w:rsidP="005D5C99">
      <w:pPr>
        <w:rPr>
          <w:sz w:val="28"/>
          <w:szCs w:val="28"/>
        </w:rPr>
      </w:pPr>
    </w:p>
    <w:p w:rsidR="00B908EB" w:rsidRDefault="00B908EB" w:rsidP="005D5C99">
      <w:pPr>
        <w:rPr>
          <w:sz w:val="28"/>
          <w:szCs w:val="28"/>
        </w:rPr>
      </w:pPr>
      <w:r>
        <w:rPr>
          <w:sz w:val="28"/>
          <w:szCs w:val="28"/>
        </w:rPr>
        <w:t>August 2012</w:t>
      </w:r>
    </w:p>
    <w:p w:rsidR="00B908EB" w:rsidRDefault="00B908EB" w:rsidP="005D5C99">
      <w:pPr>
        <w:rPr>
          <w:sz w:val="28"/>
          <w:szCs w:val="28"/>
        </w:rPr>
      </w:pPr>
    </w:p>
    <w:p w:rsidR="000F071C" w:rsidRDefault="000F071C" w:rsidP="005D5C99">
      <w:pPr>
        <w:rPr>
          <w:sz w:val="28"/>
          <w:szCs w:val="28"/>
        </w:rPr>
      </w:pPr>
    </w:p>
    <w:p w:rsidR="00B908EB" w:rsidRDefault="00B908EB" w:rsidP="005D5C99">
      <w:pPr>
        <w:rPr>
          <w:sz w:val="28"/>
          <w:szCs w:val="28"/>
        </w:rPr>
      </w:pPr>
    </w:p>
    <w:p w:rsidR="00DF291A" w:rsidRDefault="00B908EB" w:rsidP="005D5C99">
      <w:pPr>
        <w:rPr>
          <w:sz w:val="28"/>
          <w:szCs w:val="28"/>
        </w:rPr>
      </w:pPr>
      <w:r>
        <w:rPr>
          <w:sz w:val="28"/>
          <w:szCs w:val="28"/>
        </w:rPr>
        <w:t>Amberley Gavel</w:t>
      </w:r>
      <w:r w:rsidR="00DF291A">
        <w:rPr>
          <w:sz w:val="28"/>
          <w:szCs w:val="28"/>
        </w:rPr>
        <w:t xml:space="preserve"> </w:t>
      </w:r>
      <w:r w:rsidR="00F137CE">
        <w:rPr>
          <w:sz w:val="28"/>
          <w:szCs w:val="28"/>
        </w:rPr>
        <w:t>Ltd</w:t>
      </w:r>
    </w:p>
    <w:p w:rsidR="00C433D7" w:rsidRDefault="00C433D7" w:rsidP="005D5C99">
      <w:pPr>
        <w:rPr>
          <w:sz w:val="28"/>
          <w:szCs w:val="28"/>
        </w:rPr>
      </w:pPr>
    </w:p>
    <w:p w:rsidR="00B43FAF" w:rsidRDefault="00B43FAF" w:rsidP="005D5C99">
      <w:pPr>
        <w:rPr>
          <w:sz w:val="28"/>
          <w:szCs w:val="28"/>
        </w:rPr>
      </w:pPr>
    </w:p>
    <w:sectPr w:rsidR="00B43FAF" w:rsidSect="00D67C29">
      <w:headerReference w:type="even" r:id="rId8"/>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B2" w:rsidRDefault="00C705B2">
      <w:r>
        <w:separator/>
      </w:r>
    </w:p>
  </w:endnote>
  <w:endnote w:type="continuationSeparator" w:id="0">
    <w:p w:rsidR="00C705B2" w:rsidRDefault="00C70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BF" w:rsidRDefault="00DB16F6" w:rsidP="003F2CF4">
    <w:pPr>
      <w:pStyle w:val="Footer"/>
      <w:framePr w:wrap="around" w:vAnchor="text" w:hAnchor="margin" w:xAlign="right" w:y="1"/>
      <w:rPr>
        <w:rStyle w:val="PageNumber"/>
      </w:rPr>
    </w:pPr>
    <w:r>
      <w:rPr>
        <w:rStyle w:val="PageNumber"/>
      </w:rPr>
      <w:fldChar w:fldCharType="begin"/>
    </w:r>
    <w:r w:rsidR="003D58BF">
      <w:rPr>
        <w:rStyle w:val="PageNumber"/>
      </w:rPr>
      <w:instrText xml:space="preserve">PAGE  </w:instrText>
    </w:r>
    <w:r>
      <w:rPr>
        <w:rStyle w:val="PageNumber"/>
      </w:rPr>
      <w:fldChar w:fldCharType="end"/>
    </w:r>
  </w:p>
  <w:p w:rsidR="003D58BF" w:rsidRDefault="003D58BF" w:rsidP="009A03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BF" w:rsidRDefault="003D58BF" w:rsidP="009A03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B2" w:rsidRDefault="00C705B2">
      <w:r>
        <w:separator/>
      </w:r>
    </w:p>
  </w:footnote>
  <w:footnote w:type="continuationSeparator" w:id="0">
    <w:p w:rsidR="00C705B2" w:rsidRDefault="00C70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BF" w:rsidRDefault="00DB16F6" w:rsidP="00EE2C4F">
    <w:pPr>
      <w:pStyle w:val="Header"/>
      <w:framePr w:wrap="around" w:vAnchor="text" w:hAnchor="margin" w:xAlign="right" w:y="1"/>
      <w:rPr>
        <w:rStyle w:val="PageNumber"/>
      </w:rPr>
    </w:pPr>
    <w:r>
      <w:rPr>
        <w:rStyle w:val="PageNumber"/>
      </w:rPr>
      <w:fldChar w:fldCharType="begin"/>
    </w:r>
    <w:r w:rsidR="003D58BF">
      <w:rPr>
        <w:rStyle w:val="PageNumber"/>
      </w:rPr>
      <w:instrText xml:space="preserve">PAGE  </w:instrText>
    </w:r>
    <w:r>
      <w:rPr>
        <w:rStyle w:val="PageNumber"/>
      </w:rPr>
      <w:fldChar w:fldCharType="end"/>
    </w:r>
  </w:p>
  <w:p w:rsidR="003D58BF" w:rsidRDefault="003D58BF" w:rsidP="00D67C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BF" w:rsidRDefault="00DB16F6" w:rsidP="00EE2C4F">
    <w:pPr>
      <w:pStyle w:val="Header"/>
      <w:framePr w:wrap="around" w:vAnchor="text" w:hAnchor="margin" w:xAlign="right" w:y="1"/>
      <w:rPr>
        <w:rStyle w:val="PageNumber"/>
      </w:rPr>
    </w:pPr>
    <w:r>
      <w:rPr>
        <w:rStyle w:val="PageNumber"/>
      </w:rPr>
      <w:fldChar w:fldCharType="begin"/>
    </w:r>
    <w:r w:rsidR="003D58BF">
      <w:rPr>
        <w:rStyle w:val="PageNumber"/>
      </w:rPr>
      <w:instrText xml:space="preserve">PAGE  </w:instrText>
    </w:r>
    <w:r>
      <w:rPr>
        <w:rStyle w:val="PageNumber"/>
      </w:rPr>
      <w:fldChar w:fldCharType="separate"/>
    </w:r>
    <w:r w:rsidR="00D05E00">
      <w:rPr>
        <w:rStyle w:val="PageNumber"/>
        <w:noProof/>
      </w:rPr>
      <w:t>2</w:t>
    </w:r>
    <w:r>
      <w:rPr>
        <w:rStyle w:val="PageNumber"/>
      </w:rPr>
      <w:fldChar w:fldCharType="end"/>
    </w:r>
  </w:p>
  <w:p w:rsidR="003D58BF" w:rsidRDefault="003D58BF" w:rsidP="00D67C2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83D"/>
    <w:multiLevelType w:val="hybridMultilevel"/>
    <w:tmpl w:val="15A4AE32"/>
    <w:lvl w:ilvl="0" w:tplc="57D050D2">
      <w:start w:val="1"/>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CB5335C"/>
    <w:multiLevelType w:val="hybridMultilevel"/>
    <w:tmpl w:val="1924FA2C"/>
    <w:lvl w:ilvl="0" w:tplc="4880EC68">
      <w:start w:val="12"/>
      <w:numFmt w:val="bullet"/>
      <w:lvlText w:val="-"/>
      <w:lvlJc w:val="left"/>
      <w:pPr>
        <w:tabs>
          <w:tab w:val="num" w:pos="2340"/>
        </w:tabs>
        <w:ind w:left="2340" w:hanging="720"/>
      </w:pPr>
      <w:rPr>
        <w:rFonts w:ascii="Times New Roman" w:eastAsia="Times New Roman" w:hAnsi="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3C5"/>
    <w:rsid w:val="00012532"/>
    <w:rsid w:val="00021E19"/>
    <w:rsid w:val="00064867"/>
    <w:rsid w:val="000729A4"/>
    <w:rsid w:val="00086142"/>
    <w:rsid w:val="00097535"/>
    <w:rsid w:val="000A453F"/>
    <w:rsid w:val="000A5F8C"/>
    <w:rsid w:val="000B562B"/>
    <w:rsid w:val="000D7713"/>
    <w:rsid w:val="000F071C"/>
    <w:rsid w:val="000F284E"/>
    <w:rsid w:val="0011350B"/>
    <w:rsid w:val="001578E0"/>
    <w:rsid w:val="00182704"/>
    <w:rsid w:val="001D3A33"/>
    <w:rsid w:val="001E10DC"/>
    <w:rsid w:val="001E24CA"/>
    <w:rsid w:val="00206167"/>
    <w:rsid w:val="00234F2E"/>
    <w:rsid w:val="002413D9"/>
    <w:rsid w:val="0025728E"/>
    <w:rsid w:val="00275F05"/>
    <w:rsid w:val="002761FA"/>
    <w:rsid w:val="002775A7"/>
    <w:rsid w:val="002910E2"/>
    <w:rsid w:val="00296DB7"/>
    <w:rsid w:val="002B64F3"/>
    <w:rsid w:val="00363EA6"/>
    <w:rsid w:val="0036561A"/>
    <w:rsid w:val="003663E7"/>
    <w:rsid w:val="003876B9"/>
    <w:rsid w:val="0039412A"/>
    <w:rsid w:val="003C68C0"/>
    <w:rsid w:val="003D58BF"/>
    <w:rsid w:val="003F2CF4"/>
    <w:rsid w:val="00400E45"/>
    <w:rsid w:val="00434CB7"/>
    <w:rsid w:val="00464318"/>
    <w:rsid w:val="00496679"/>
    <w:rsid w:val="004C46B3"/>
    <w:rsid w:val="004C5701"/>
    <w:rsid w:val="004E0B77"/>
    <w:rsid w:val="004F045C"/>
    <w:rsid w:val="005310D1"/>
    <w:rsid w:val="00550EF4"/>
    <w:rsid w:val="00571646"/>
    <w:rsid w:val="00573A6B"/>
    <w:rsid w:val="00574CE8"/>
    <w:rsid w:val="005D5C99"/>
    <w:rsid w:val="00614871"/>
    <w:rsid w:val="006172D6"/>
    <w:rsid w:val="006259DB"/>
    <w:rsid w:val="00652DE9"/>
    <w:rsid w:val="00655507"/>
    <w:rsid w:val="0076206F"/>
    <w:rsid w:val="007B525B"/>
    <w:rsid w:val="007C5463"/>
    <w:rsid w:val="007D1448"/>
    <w:rsid w:val="007F6F59"/>
    <w:rsid w:val="008669A8"/>
    <w:rsid w:val="00890723"/>
    <w:rsid w:val="008B1536"/>
    <w:rsid w:val="008B695C"/>
    <w:rsid w:val="0091226E"/>
    <w:rsid w:val="00915E67"/>
    <w:rsid w:val="00927E2B"/>
    <w:rsid w:val="0094032F"/>
    <w:rsid w:val="009620EE"/>
    <w:rsid w:val="00966312"/>
    <w:rsid w:val="009A03C5"/>
    <w:rsid w:val="009D7769"/>
    <w:rsid w:val="009E6B72"/>
    <w:rsid w:val="00A106CD"/>
    <w:rsid w:val="00A83C2D"/>
    <w:rsid w:val="00AC2490"/>
    <w:rsid w:val="00B21454"/>
    <w:rsid w:val="00B43FAF"/>
    <w:rsid w:val="00B50596"/>
    <w:rsid w:val="00B7596D"/>
    <w:rsid w:val="00B77652"/>
    <w:rsid w:val="00B908EB"/>
    <w:rsid w:val="00B967FD"/>
    <w:rsid w:val="00BC3A77"/>
    <w:rsid w:val="00BC67EF"/>
    <w:rsid w:val="00BC7A5A"/>
    <w:rsid w:val="00BE0EA0"/>
    <w:rsid w:val="00BF26CA"/>
    <w:rsid w:val="00BF57F1"/>
    <w:rsid w:val="00C3283E"/>
    <w:rsid w:val="00C345B6"/>
    <w:rsid w:val="00C433D7"/>
    <w:rsid w:val="00C705B2"/>
    <w:rsid w:val="00C875C9"/>
    <w:rsid w:val="00CB58ED"/>
    <w:rsid w:val="00CB747D"/>
    <w:rsid w:val="00CD2F25"/>
    <w:rsid w:val="00D042D4"/>
    <w:rsid w:val="00D05E00"/>
    <w:rsid w:val="00D1700E"/>
    <w:rsid w:val="00D6524A"/>
    <w:rsid w:val="00D67C29"/>
    <w:rsid w:val="00D71D59"/>
    <w:rsid w:val="00DB0621"/>
    <w:rsid w:val="00DB16F6"/>
    <w:rsid w:val="00DB2C96"/>
    <w:rsid w:val="00DB6620"/>
    <w:rsid w:val="00DD765E"/>
    <w:rsid w:val="00DE7621"/>
    <w:rsid w:val="00DF0BC1"/>
    <w:rsid w:val="00DF291A"/>
    <w:rsid w:val="00DF6DCF"/>
    <w:rsid w:val="00E005C3"/>
    <w:rsid w:val="00E24293"/>
    <w:rsid w:val="00E27224"/>
    <w:rsid w:val="00EA2623"/>
    <w:rsid w:val="00EA75D6"/>
    <w:rsid w:val="00EE2C4F"/>
    <w:rsid w:val="00EF45F6"/>
    <w:rsid w:val="00F137CE"/>
    <w:rsid w:val="00F249B2"/>
    <w:rsid w:val="00F32A53"/>
    <w:rsid w:val="00F402C7"/>
    <w:rsid w:val="00F67AF5"/>
    <w:rsid w:val="00F86C0B"/>
    <w:rsid w:val="00F94C44"/>
    <w:rsid w:val="00FA42AB"/>
    <w:rsid w:val="00FE3759"/>
    <w:rsid w:val="00FE6616"/>
    <w:rsid w:val="00FE7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3C5"/>
    <w:rPr>
      <w:rFonts w:cs="Times New Roman"/>
      <w:color w:val="0000FF"/>
      <w:u w:val="single"/>
    </w:rPr>
  </w:style>
  <w:style w:type="paragraph" w:customStyle="1" w:styleId="clause-e">
    <w:name w:val="clause-e"/>
    <w:basedOn w:val="Normal"/>
    <w:rsid w:val="009A03C5"/>
    <w:pPr>
      <w:snapToGrid w:val="0"/>
      <w:spacing w:after="120"/>
      <w:ind w:left="1111" w:hanging="400"/>
    </w:pPr>
    <w:rPr>
      <w:color w:val="000000"/>
      <w:sz w:val="26"/>
      <w:szCs w:val="26"/>
    </w:rPr>
  </w:style>
  <w:style w:type="paragraph" w:customStyle="1" w:styleId="paragraph-e">
    <w:name w:val="paragraph-e"/>
    <w:basedOn w:val="Normal"/>
    <w:rsid w:val="009A03C5"/>
    <w:pPr>
      <w:snapToGrid w:val="0"/>
      <w:spacing w:after="120"/>
      <w:ind w:left="1117" w:hanging="400"/>
    </w:pPr>
    <w:rPr>
      <w:color w:val="000000"/>
      <w:sz w:val="26"/>
      <w:szCs w:val="26"/>
    </w:rPr>
  </w:style>
  <w:style w:type="paragraph" w:customStyle="1" w:styleId="section-e">
    <w:name w:val="section-e"/>
    <w:basedOn w:val="Normal"/>
    <w:rsid w:val="009A03C5"/>
    <w:pPr>
      <w:snapToGrid w:val="0"/>
      <w:spacing w:after="120"/>
      <w:ind w:firstLine="600"/>
    </w:pPr>
    <w:rPr>
      <w:color w:val="000000"/>
      <w:sz w:val="26"/>
      <w:szCs w:val="26"/>
    </w:rPr>
  </w:style>
  <w:style w:type="paragraph" w:customStyle="1" w:styleId="subsection-e">
    <w:name w:val="subsection-e"/>
    <w:basedOn w:val="Normal"/>
    <w:rsid w:val="009A03C5"/>
    <w:pPr>
      <w:snapToGrid w:val="0"/>
      <w:spacing w:after="120"/>
      <w:ind w:firstLine="600"/>
    </w:pPr>
    <w:rPr>
      <w:color w:val="000000"/>
      <w:sz w:val="26"/>
      <w:szCs w:val="26"/>
    </w:rPr>
  </w:style>
  <w:style w:type="paragraph" w:customStyle="1" w:styleId="headnote-e">
    <w:name w:val="headnote-e"/>
    <w:basedOn w:val="Normal"/>
    <w:rsid w:val="009A03C5"/>
    <w:pPr>
      <w:keepNext/>
      <w:snapToGrid w:val="0"/>
    </w:pPr>
    <w:rPr>
      <w:b/>
      <w:bCs/>
      <w:color w:val="000000"/>
      <w:sz w:val="26"/>
      <w:szCs w:val="26"/>
    </w:rPr>
  </w:style>
  <w:style w:type="paragraph" w:styleId="Footer">
    <w:name w:val="footer"/>
    <w:basedOn w:val="Normal"/>
    <w:link w:val="FooterChar"/>
    <w:uiPriority w:val="99"/>
    <w:rsid w:val="009A03C5"/>
    <w:pPr>
      <w:tabs>
        <w:tab w:val="center" w:pos="4320"/>
        <w:tab w:val="right" w:pos="8640"/>
      </w:tabs>
    </w:pPr>
  </w:style>
  <w:style w:type="character" w:customStyle="1" w:styleId="FooterChar">
    <w:name w:val="Footer Char"/>
    <w:basedOn w:val="DefaultParagraphFont"/>
    <w:link w:val="Footer"/>
    <w:uiPriority w:val="99"/>
    <w:semiHidden/>
    <w:rsid w:val="00F443F3"/>
    <w:rPr>
      <w:sz w:val="24"/>
      <w:szCs w:val="24"/>
    </w:rPr>
  </w:style>
  <w:style w:type="character" w:styleId="PageNumber">
    <w:name w:val="page number"/>
    <w:basedOn w:val="DefaultParagraphFont"/>
    <w:uiPriority w:val="99"/>
    <w:rsid w:val="009A03C5"/>
    <w:rPr>
      <w:rFonts w:cs="Times New Roman"/>
    </w:rPr>
  </w:style>
  <w:style w:type="paragraph" w:styleId="Header">
    <w:name w:val="header"/>
    <w:basedOn w:val="Normal"/>
    <w:link w:val="HeaderChar"/>
    <w:uiPriority w:val="99"/>
    <w:rsid w:val="00D67C29"/>
    <w:pPr>
      <w:tabs>
        <w:tab w:val="center" w:pos="4320"/>
        <w:tab w:val="right" w:pos="8640"/>
      </w:tabs>
    </w:pPr>
  </w:style>
  <w:style w:type="character" w:customStyle="1" w:styleId="HeaderChar">
    <w:name w:val="Header Char"/>
    <w:basedOn w:val="DefaultParagraphFont"/>
    <w:link w:val="Header"/>
    <w:uiPriority w:val="99"/>
    <w:semiHidden/>
    <w:rsid w:val="00F443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aws.gov.on.ca/html/statutes/french/elaws_statutes_01m25_f.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REPORT</vt:lpstr>
    </vt:vector>
  </TitlesOfParts>
  <Company>- ETH0 -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Pop</dc:creator>
  <cp:lastModifiedBy>OEM</cp:lastModifiedBy>
  <cp:revision>2</cp:revision>
  <cp:lastPrinted>2012-08-29T17:10:00Z</cp:lastPrinted>
  <dcterms:created xsi:type="dcterms:W3CDTF">2012-08-29T17:14:00Z</dcterms:created>
  <dcterms:modified xsi:type="dcterms:W3CDTF">2012-08-29T17:14:00Z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851691457</vt:i4>
  </property>
  <property fmtid="{D5CDD505-2E9C-101B-9397-08002B2CF9AE}" pid="3" name="_EmailSubject">
    <vt:lpwstr>Scugog Second Investigation</vt:lpwstr>
  </property>
  <property fmtid="{D5CDD505-2E9C-101B-9397-08002B2CF9AE}" pid="4" name="_AuthorEmail">
    <vt:lpwstr>bwbaxter@cogeco.ca</vt:lpwstr>
  </property>
  <property fmtid="{D5CDD505-2E9C-101B-9397-08002B2CF9AE}" pid="5" name="_AuthorEmailDisplayName">
    <vt:lpwstr>Bryan Baxter</vt:lpwstr>
  </property>
  <property fmtid="{D5CDD505-2E9C-101B-9397-08002B2CF9AE}" pid="6" name="_ReviewingToolsShownOnce">
    <vt:lpwstr/>
  </property>
</Properties>
</file>